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F6" w:rsidRDefault="00FA21F6" w:rsidP="00FA21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FA21F6" w:rsidRDefault="00FA21F6" w:rsidP="00FA21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FA21F6" w:rsidRDefault="00FA21F6" w:rsidP="00FA21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FA21F6" w:rsidRDefault="00FA21F6" w:rsidP="00FA21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FA21F6" w:rsidRDefault="00B16354" w:rsidP="00FA21F6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FA21F6">
        <w:rPr>
          <w:sz w:val="24"/>
        </w:rPr>
        <w:t xml:space="preserve">«04» октября 2018 г.                                                               </w:t>
      </w:r>
      <w:r>
        <w:rPr>
          <w:sz w:val="24"/>
        </w:rPr>
        <w:t xml:space="preserve">                  </w:t>
      </w:r>
      <w:r w:rsidR="00FA21F6">
        <w:rPr>
          <w:sz w:val="24"/>
        </w:rPr>
        <w:t>№ 0187300005818000329-1</w:t>
      </w:r>
    </w:p>
    <w:p w:rsidR="008B573F" w:rsidRDefault="008B573F" w:rsidP="008B573F">
      <w:pPr>
        <w:tabs>
          <w:tab w:val="left" w:pos="284"/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B573F" w:rsidRDefault="008B573F" w:rsidP="008B573F">
      <w:pPr>
        <w:tabs>
          <w:tab w:val="left" w:pos="284"/>
          <w:tab w:val="left" w:pos="709"/>
        </w:tabs>
        <w:ind w:left="709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С.Д. </w:t>
      </w:r>
      <w:proofErr w:type="spellStart"/>
      <w:r>
        <w:rPr>
          <w:spacing w:val="-6"/>
          <w:sz w:val="24"/>
          <w:szCs w:val="24"/>
        </w:rPr>
        <w:t>Голин</w:t>
      </w:r>
      <w:proofErr w:type="spellEnd"/>
      <w:r>
        <w:rPr>
          <w:spacing w:val="-6"/>
          <w:sz w:val="24"/>
          <w:szCs w:val="24"/>
        </w:rPr>
        <w:t xml:space="preserve"> - </w:t>
      </w:r>
      <w:r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B573F" w:rsidRDefault="008B573F" w:rsidP="008B573F">
      <w:pPr>
        <w:pStyle w:val="a5"/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-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В.К.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Н.А. Морозова - советник руководителя;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Ж.В.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>;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B573F" w:rsidRDefault="008B573F" w:rsidP="008B573F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  <w:tab w:val="left" w:pos="1134"/>
        </w:tabs>
        <w:ind w:left="709" w:righ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8B573F" w:rsidRDefault="008B573F" w:rsidP="008B573F">
      <w:pPr>
        <w:pStyle w:val="a5"/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709" w:right="142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7  членов комиссии из 8.</w:t>
      </w:r>
    </w:p>
    <w:p w:rsidR="00FA21F6" w:rsidRDefault="00FA21F6" w:rsidP="00CB1C21">
      <w:pPr>
        <w:ind w:left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 w:rsidRPr="00FA21F6">
        <w:rPr>
          <w:spacing w:val="-6"/>
          <w:sz w:val="24"/>
          <w:szCs w:val="24"/>
        </w:rPr>
        <w:t>Прошкина</w:t>
      </w:r>
      <w:proofErr w:type="spellEnd"/>
      <w:r w:rsidRPr="00FA21F6">
        <w:rPr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FA21F6"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</w:t>
      </w:r>
    </w:p>
    <w:p w:rsidR="00FA21F6" w:rsidRDefault="00FA21F6" w:rsidP="00CB1C21">
      <w:pPr>
        <w:ind w:left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 Наименование аукциона: аукцион в электронной форме №0187300005818000329 </w:t>
      </w:r>
      <w:r w:rsidR="00C92B16" w:rsidRPr="00C92B16">
        <w:rPr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</w:t>
      </w:r>
      <w:r>
        <w:rPr>
          <w:spacing w:val="-6"/>
          <w:sz w:val="24"/>
          <w:szCs w:val="24"/>
        </w:rPr>
        <w:t>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>, код аукциона</w:t>
      </w:r>
      <w:r w:rsidR="00C92B16">
        <w:rPr>
          <w:sz w:val="24"/>
        </w:rPr>
        <w:t xml:space="preserve"> 0187300005815000329, дата публикации 17</w:t>
      </w:r>
      <w:r>
        <w:rPr>
          <w:sz w:val="24"/>
        </w:rPr>
        <w:t xml:space="preserve">.09.2018. 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 xml:space="preserve">Идентификационный код закупки:  </w:t>
      </w:r>
      <w:r w:rsidR="00C92B16" w:rsidRPr="00C92B16">
        <w:rPr>
          <w:sz w:val="24"/>
        </w:rPr>
        <w:t>183862201149086220100110230126810412</w:t>
      </w:r>
      <w:r>
        <w:rPr>
          <w:sz w:val="24"/>
        </w:rPr>
        <w:t>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 xml:space="preserve">2. Заказчик: </w:t>
      </w:r>
      <w:r w:rsidR="00C92B16" w:rsidRPr="00C92B16">
        <w:rPr>
          <w:sz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C92B16" w:rsidRPr="00C92B16"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11, Ханты-Мансийский  автономный  округ-Югра, Тюменская область.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>3. Процедура рассмотрения первых частей заявок на участие в аукционе была пров</w:t>
      </w:r>
      <w:r w:rsidR="004F5628">
        <w:rPr>
          <w:sz w:val="24"/>
        </w:rPr>
        <w:t>едена комиссией в 10.00 часов 04 ок</w:t>
      </w:r>
      <w:r>
        <w:rPr>
          <w:sz w:val="24"/>
        </w:rPr>
        <w:t xml:space="preserve">тября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</w:rPr>
        <w:t xml:space="preserve">4. До окончания указанного в извещении о проведении аукциона срока подачи </w:t>
      </w:r>
      <w:r w:rsidR="00C92B16">
        <w:rPr>
          <w:sz w:val="24"/>
        </w:rPr>
        <w:t xml:space="preserve">заявок </w:t>
      </w:r>
      <w:proofErr w:type="gramStart"/>
      <w:r w:rsidR="00C92B16">
        <w:rPr>
          <w:sz w:val="24"/>
        </w:rPr>
        <w:t>на</w:t>
      </w:r>
      <w:proofErr w:type="gramEnd"/>
      <w:r w:rsidR="00C92B16">
        <w:rPr>
          <w:sz w:val="24"/>
        </w:rPr>
        <w:t xml:space="preserve"> участие в аукционе «03» ок</w:t>
      </w:r>
      <w:r>
        <w:rPr>
          <w:sz w:val="24"/>
        </w:rPr>
        <w:t xml:space="preserve">тября 2018 г. 10 часов 00 минут была подана: 1 (одна) заявка на участие в аукционе (под номером № </w:t>
      </w:r>
      <w:r w:rsidR="00CB1C21">
        <w:rPr>
          <w:sz w:val="24"/>
        </w:rPr>
        <w:t>74</w:t>
      </w:r>
      <w:r>
        <w:rPr>
          <w:sz w:val="24"/>
        </w:rPr>
        <w:t>).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CB1C21">
        <w:rPr>
          <w:spacing w:val="-6"/>
          <w:sz w:val="24"/>
          <w:szCs w:val="24"/>
        </w:rPr>
        <w:t>74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FA21F6" w:rsidRDefault="00FA21F6" w:rsidP="00CB1C21">
      <w:pPr>
        <w:ind w:left="709"/>
        <w:jc w:val="both"/>
        <w:rPr>
          <w:sz w:val="24"/>
        </w:rPr>
      </w:pPr>
      <w:r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8222"/>
      </w:tblGrid>
      <w:tr w:rsidR="00FA21F6" w:rsidTr="00CB1C21">
        <w:trPr>
          <w:trHeight w:val="30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F6" w:rsidRDefault="00FA21F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F6" w:rsidRDefault="00FA21F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FA21F6" w:rsidTr="00CB1C21">
        <w:trPr>
          <w:trHeight w:val="202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F6" w:rsidRDefault="00CB1C21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972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302"/>
              <w:gridCol w:w="5670"/>
            </w:tblGrid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CB1C21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"Инвестиционная компания "</w:t>
                  </w:r>
                  <w:proofErr w:type="spellStart"/>
                  <w:r w:rsidRPr="00CB1C21">
                    <w:rPr>
                      <w:b/>
                      <w:bCs/>
                      <w:sz w:val="22"/>
                      <w:szCs w:val="22"/>
                    </w:rPr>
                    <w:t>Уралгазстрой</w:t>
                  </w:r>
                  <w:proofErr w:type="spellEnd"/>
                  <w:r w:rsidRPr="00CB1C21">
                    <w:rPr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>01.10.2018</w:t>
                  </w:r>
                </w:p>
              </w:tc>
            </w:tr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>6623054051</w:t>
                  </w:r>
                </w:p>
              </w:tc>
            </w:tr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>862201001</w:t>
                  </w:r>
                </w:p>
              </w:tc>
            </w:tr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1C21" w:rsidRPr="00CB1C21" w:rsidRDefault="00CB1C21" w:rsidP="00CB1C21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CB1C21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CB1C21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CB1C21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CB1C21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CB1C21">
                    <w:rPr>
                      <w:sz w:val="22"/>
                      <w:szCs w:val="22"/>
                    </w:rPr>
                    <w:t>лавянская</w:t>
                  </w:r>
                  <w:proofErr w:type="spellEnd"/>
                  <w:r w:rsidRPr="00CB1C21">
                    <w:rPr>
                      <w:sz w:val="22"/>
                      <w:szCs w:val="22"/>
                    </w:rPr>
                    <w:t>, д.4А</w:t>
                  </w:r>
                </w:p>
              </w:tc>
            </w:tr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1C21" w:rsidRPr="00CB1C21" w:rsidRDefault="00CB1C21" w:rsidP="00CB1C21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CB1C21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CB1C21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CB1C21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CB1C21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CB1C21">
                    <w:rPr>
                      <w:sz w:val="22"/>
                      <w:szCs w:val="22"/>
                    </w:rPr>
                    <w:t>лавянская</w:t>
                  </w:r>
                  <w:proofErr w:type="spellEnd"/>
                  <w:r w:rsidRPr="00CB1C21">
                    <w:rPr>
                      <w:sz w:val="22"/>
                      <w:szCs w:val="22"/>
                    </w:rPr>
                    <w:t>, д.4А</w:t>
                  </w:r>
                </w:p>
              </w:tc>
            </w:tr>
            <w:tr w:rsidR="00CB1C21" w:rsidTr="00CB1C21">
              <w:trPr>
                <w:tblCellSpacing w:w="15" w:type="dxa"/>
              </w:trPr>
              <w:tc>
                <w:tcPr>
                  <w:tcW w:w="225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56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B1C21" w:rsidRPr="00CB1C21" w:rsidRDefault="00CB1C21" w:rsidP="00FB7890">
                  <w:pPr>
                    <w:rPr>
                      <w:sz w:val="22"/>
                      <w:szCs w:val="22"/>
                    </w:rPr>
                  </w:pPr>
                  <w:r w:rsidRPr="00CB1C21">
                    <w:rPr>
                      <w:sz w:val="22"/>
                      <w:szCs w:val="22"/>
                    </w:rPr>
                    <w:t>+73435256256</w:t>
                  </w:r>
                </w:p>
              </w:tc>
            </w:tr>
          </w:tbl>
          <w:p w:rsidR="00FA21F6" w:rsidRDefault="00FA21F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A21F6" w:rsidRPr="00360C73" w:rsidRDefault="00FA21F6" w:rsidP="00CB1C21">
      <w:pPr>
        <w:ind w:left="426"/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FA21F6" w:rsidRDefault="00FA21F6" w:rsidP="00CB1C21">
      <w:pPr>
        <w:ind w:left="426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FA21F6" w:rsidRDefault="00FA21F6" w:rsidP="00CB1C21">
      <w:pPr>
        <w:ind w:left="426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FA21F6" w:rsidRDefault="00FA21F6" w:rsidP="00FA21F6">
      <w:pPr>
        <w:jc w:val="center"/>
        <w:rPr>
          <w:noProof/>
          <w:sz w:val="24"/>
          <w:szCs w:val="24"/>
        </w:rPr>
      </w:pPr>
    </w:p>
    <w:tbl>
      <w:tblPr>
        <w:tblW w:w="10631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6513"/>
        <w:gridCol w:w="1557"/>
        <w:gridCol w:w="2561"/>
      </w:tblGrid>
      <w:tr w:rsidR="00FA21F6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F6" w:rsidRDefault="00FA21F6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F6" w:rsidRDefault="00FA21F6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F6" w:rsidRDefault="00FA21F6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CB1C21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46149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E46149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CB1C21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 xml:space="preserve">В.К. </w:t>
            </w:r>
            <w:proofErr w:type="spellStart"/>
            <w:r w:rsidRPr="00E46149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CB1C21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>Н.А. Морозова</w:t>
            </w:r>
          </w:p>
        </w:tc>
      </w:tr>
      <w:tr w:rsidR="00CB1C21" w:rsidTr="00CB1C21">
        <w:trPr>
          <w:trHeight w:val="590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 xml:space="preserve">Т.И. </w:t>
            </w:r>
            <w:proofErr w:type="spellStart"/>
            <w:r w:rsidRPr="00E46149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CB1C21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 xml:space="preserve">Ж.В. </w:t>
            </w:r>
            <w:proofErr w:type="spellStart"/>
            <w:r w:rsidRPr="00E46149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CB1C21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>А.Т. Абдуллаев</w:t>
            </w:r>
          </w:p>
        </w:tc>
      </w:tr>
      <w:tr w:rsidR="00CB1C21" w:rsidTr="00CB1C21"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21" w:rsidRDefault="00CB1C2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21" w:rsidRDefault="00CB1C21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21" w:rsidRPr="00E46149" w:rsidRDefault="00CB1C21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6149">
              <w:rPr>
                <w:sz w:val="24"/>
                <w:szCs w:val="24"/>
              </w:rPr>
              <w:t>Н.Б. Захарова</w:t>
            </w:r>
          </w:p>
        </w:tc>
      </w:tr>
    </w:tbl>
    <w:p w:rsidR="00FA21F6" w:rsidRDefault="00FA21F6" w:rsidP="00FA21F6">
      <w:pPr>
        <w:ind w:left="-993"/>
        <w:jc w:val="both"/>
        <w:rPr>
          <w:b/>
          <w:sz w:val="24"/>
          <w:szCs w:val="24"/>
        </w:rPr>
      </w:pPr>
    </w:p>
    <w:p w:rsidR="00CB1C21" w:rsidRDefault="00FA21F6" w:rsidP="00CB1C21">
      <w:pPr>
        <w:ind w:left="-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CB1C21" w:rsidRPr="00360972" w:rsidRDefault="00CB1C21" w:rsidP="00CB1C21">
      <w:pPr>
        <w:jc w:val="both"/>
        <w:rPr>
          <w:b/>
          <w:sz w:val="24"/>
          <w:szCs w:val="24"/>
        </w:rPr>
      </w:pPr>
      <w:r w:rsidRPr="002F1B7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Pr="00360972">
        <w:rPr>
          <w:b/>
          <w:sz w:val="24"/>
          <w:szCs w:val="24"/>
        </w:rPr>
        <w:t xml:space="preserve">Председатель комиссии:                                                                              С.Д. </w:t>
      </w:r>
      <w:proofErr w:type="spellStart"/>
      <w:r w:rsidRPr="00360972">
        <w:rPr>
          <w:b/>
          <w:sz w:val="24"/>
          <w:szCs w:val="24"/>
        </w:rPr>
        <w:t>Голин</w:t>
      </w:r>
      <w:proofErr w:type="spellEnd"/>
      <w:r w:rsidRPr="00360972">
        <w:rPr>
          <w:b/>
          <w:sz w:val="24"/>
          <w:szCs w:val="24"/>
        </w:rPr>
        <w:t xml:space="preserve">                                                                </w:t>
      </w:r>
    </w:p>
    <w:p w:rsidR="00CB1C21" w:rsidRPr="00360972" w:rsidRDefault="00CB1C21" w:rsidP="00CB1C21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3609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360972">
        <w:rPr>
          <w:b/>
          <w:sz w:val="24"/>
          <w:szCs w:val="24"/>
        </w:rPr>
        <w:t>Члены  комиссии</w:t>
      </w:r>
    </w:p>
    <w:p w:rsidR="00CB1C21" w:rsidRPr="00360972" w:rsidRDefault="00CB1C21" w:rsidP="00CB1C21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360972">
        <w:rPr>
          <w:b/>
          <w:sz w:val="24"/>
          <w:szCs w:val="24"/>
        </w:rPr>
        <w:t>______________</w:t>
      </w:r>
      <w:r w:rsidRPr="00360972">
        <w:rPr>
          <w:sz w:val="24"/>
          <w:szCs w:val="24"/>
        </w:rPr>
        <w:t xml:space="preserve">В.К. </w:t>
      </w:r>
      <w:proofErr w:type="spellStart"/>
      <w:r w:rsidRPr="00360972">
        <w:rPr>
          <w:sz w:val="24"/>
          <w:szCs w:val="24"/>
        </w:rPr>
        <w:t>Бандурин</w:t>
      </w:r>
      <w:proofErr w:type="spellEnd"/>
    </w:p>
    <w:p w:rsidR="00CB1C21" w:rsidRPr="00360972" w:rsidRDefault="00CB1C21" w:rsidP="00CB1C21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360972">
        <w:rPr>
          <w:b/>
          <w:sz w:val="24"/>
          <w:szCs w:val="24"/>
        </w:rPr>
        <w:t xml:space="preserve">                                                                                               __________</w:t>
      </w:r>
      <w:r w:rsidRPr="00360972">
        <w:rPr>
          <w:sz w:val="24"/>
          <w:szCs w:val="24"/>
        </w:rPr>
        <w:t xml:space="preserve"> Т.И.  </w:t>
      </w:r>
      <w:proofErr w:type="spellStart"/>
      <w:r w:rsidRPr="00360972">
        <w:rPr>
          <w:sz w:val="24"/>
          <w:szCs w:val="24"/>
        </w:rPr>
        <w:t>Долгодворова</w:t>
      </w:r>
      <w:proofErr w:type="spellEnd"/>
      <w:r w:rsidRPr="00360972">
        <w:rPr>
          <w:b/>
          <w:sz w:val="24"/>
          <w:szCs w:val="24"/>
        </w:rPr>
        <w:t xml:space="preserve">            </w:t>
      </w:r>
    </w:p>
    <w:p w:rsidR="00CB1C21" w:rsidRPr="00360972" w:rsidRDefault="00CB1C21" w:rsidP="00CB1C21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</w:t>
      </w:r>
      <w:proofErr w:type="spellStart"/>
      <w:r w:rsidRPr="00360972">
        <w:rPr>
          <w:sz w:val="24"/>
          <w:szCs w:val="24"/>
        </w:rPr>
        <w:t>Н.А.Морозова</w:t>
      </w:r>
      <w:proofErr w:type="spellEnd"/>
    </w:p>
    <w:p w:rsidR="00CB1C21" w:rsidRPr="00360972" w:rsidRDefault="00CB1C21" w:rsidP="00CB1C21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</w:t>
      </w:r>
      <w:proofErr w:type="spellStart"/>
      <w:r w:rsidRPr="00360972">
        <w:rPr>
          <w:sz w:val="24"/>
          <w:szCs w:val="24"/>
        </w:rPr>
        <w:t>Ж.В.Резинкина</w:t>
      </w:r>
      <w:proofErr w:type="spellEnd"/>
    </w:p>
    <w:p w:rsidR="00CB1C21" w:rsidRPr="00360972" w:rsidRDefault="00CB1C21" w:rsidP="00CB1C21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lastRenderedPageBreak/>
        <w:t>______________А.Т. Абдуллаев</w:t>
      </w:r>
    </w:p>
    <w:p w:rsidR="00CB1C21" w:rsidRPr="008E4768" w:rsidRDefault="00CB1C21" w:rsidP="00CB1C21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________________Н.Б. Захарова</w:t>
      </w:r>
    </w:p>
    <w:p w:rsidR="00FA21F6" w:rsidRDefault="00FA21F6" w:rsidP="00CB1C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FA21F6" w:rsidRDefault="00FA21F6" w:rsidP="00FA21F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CB1C21">
        <w:rPr>
          <w:color w:val="FF0000"/>
          <w:sz w:val="24"/>
          <w:szCs w:val="24"/>
        </w:rPr>
        <w:t xml:space="preserve"> </w:t>
      </w:r>
    </w:p>
    <w:p w:rsidR="00FA21F6" w:rsidRDefault="00FA21F6" w:rsidP="00FA21F6">
      <w:pPr>
        <w:rPr>
          <w:color w:val="FF0000"/>
          <w:sz w:val="24"/>
        </w:rPr>
      </w:pPr>
      <w:r>
        <w:rPr>
          <w:color w:val="FF0000"/>
          <w:sz w:val="24"/>
          <w:szCs w:val="24"/>
        </w:rPr>
        <w:t xml:space="preserve">   </w:t>
      </w:r>
      <w:r w:rsidR="00CB1C21">
        <w:rPr>
          <w:color w:val="FF0000"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Представитель заказчика </w:t>
      </w:r>
      <w:r>
        <w:t xml:space="preserve">   </w:t>
      </w:r>
      <w:r w:rsidR="00CB1C21">
        <w:t xml:space="preserve">                          </w:t>
      </w:r>
      <w:r>
        <w:t xml:space="preserve">                                                   ________________</w:t>
      </w:r>
      <w:r w:rsidR="00C92B16">
        <w:rPr>
          <w:sz w:val="24"/>
        </w:rPr>
        <w:t xml:space="preserve">М.Л. </w:t>
      </w:r>
      <w:proofErr w:type="spellStart"/>
      <w:r w:rsidR="00C92B16">
        <w:rPr>
          <w:sz w:val="24"/>
        </w:rPr>
        <w:t>Прошкина</w:t>
      </w:r>
      <w:proofErr w:type="spellEnd"/>
      <w:r>
        <w:rPr>
          <w:sz w:val="24"/>
        </w:rPr>
        <w:t xml:space="preserve"> </w:t>
      </w:r>
    </w:p>
    <w:p w:rsidR="00681D83" w:rsidRDefault="00681D8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490BC5" w:rsidRDefault="00490BC5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3A467B" w:rsidRDefault="003A467B"/>
    <w:p w:rsidR="003A467B" w:rsidRDefault="003A467B">
      <w:bookmarkStart w:id="0" w:name="_GoBack"/>
      <w:bookmarkEnd w:id="0"/>
    </w:p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490BC5" w:rsidRPr="00656EE3" w:rsidRDefault="00490BC5" w:rsidP="00490BC5">
      <w:pPr>
        <w:ind w:hanging="426"/>
        <w:jc w:val="right"/>
      </w:pPr>
      <w:r>
        <w:lastRenderedPageBreak/>
        <w:t xml:space="preserve">Приложение </w:t>
      </w:r>
    </w:p>
    <w:p w:rsidR="00490BC5" w:rsidRPr="00656EE3" w:rsidRDefault="00490BC5" w:rsidP="00490BC5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490BC5" w:rsidRPr="00656EE3" w:rsidRDefault="00490BC5" w:rsidP="00490BC5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490BC5" w:rsidRDefault="00490BC5" w:rsidP="00490BC5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04» октября 2018 г. № 0187300005818</w:t>
      </w:r>
      <w:r w:rsidRPr="00656EE3">
        <w:t>000</w:t>
      </w:r>
      <w:r>
        <w:t>329</w:t>
      </w:r>
      <w:r w:rsidRPr="00656EE3">
        <w:t>-1</w:t>
      </w:r>
    </w:p>
    <w:p w:rsidR="00490BC5" w:rsidRPr="00656EE3" w:rsidRDefault="00490BC5" w:rsidP="00490BC5">
      <w:pPr>
        <w:tabs>
          <w:tab w:val="left" w:pos="3930"/>
          <w:tab w:val="right" w:pos="9355"/>
        </w:tabs>
        <w:jc w:val="right"/>
      </w:pPr>
    </w:p>
    <w:p w:rsidR="00490BC5" w:rsidRPr="00656EE3" w:rsidRDefault="00490BC5" w:rsidP="00490BC5">
      <w:pPr>
        <w:ind w:left="426"/>
        <w:jc w:val="center"/>
      </w:pPr>
      <w:r w:rsidRPr="00656EE3">
        <w:t>Таблица рассмотрения единственной заявки</w:t>
      </w:r>
    </w:p>
    <w:p w:rsidR="00490BC5" w:rsidRDefault="00490BC5" w:rsidP="00490BC5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 w:rsidRPr="00D46ABB">
        <w:t>на право заключения муниципального контракта</w:t>
      </w:r>
      <w:r>
        <w:t xml:space="preserve"> </w:t>
      </w:r>
    </w:p>
    <w:p w:rsidR="00490BC5" w:rsidRDefault="00490BC5" w:rsidP="00490BC5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 xml:space="preserve">жилых помещений </w:t>
      </w:r>
      <w:r w:rsidRPr="000F7320">
        <w:t xml:space="preserve">путем заключения договора участия в долевом строительстве жилых помещений </w:t>
      </w:r>
    </w:p>
    <w:p w:rsidR="00490BC5" w:rsidRDefault="00490BC5" w:rsidP="00490BC5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  <w:r w:rsidRPr="000F7320">
        <w:t>в многоквартирном доме</w:t>
      </w:r>
    </w:p>
    <w:p w:rsidR="00490BC5" w:rsidRPr="006C616B" w:rsidRDefault="00490BC5" w:rsidP="00490BC5">
      <w:pPr>
        <w:pStyle w:val="a5"/>
        <w:keepNext/>
        <w:keepLines/>
        <w:suppressLineNumbers/>
        <w:suppressAutoHyphens/>
        <w:ind w:left="426"/>
        <w:contextualSpacing w:val="0"/>
        <w:jc w:val="center"/>
      </w:pPr>
    </w:p>
    <w:p w:rsidR="00490BC5" w:rsidRDefault="00490BC5" w:rsidP="00490BC5">
      <w:pPr>
        <w:ind w:left="426"/>
      </w:pP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</w:p>
    <w:p w:rsidR="00490BC5" w:rsidRPr="00656EE3" w:rsidRDefault="00490BC5" w:rsidP="00490BC5">
      <w:pPr>
        <w:ind w:left="426"/>
      </w:pPr>
    </w:p>
    <w:tbl>
      <w:tblPr>
        <w:tblW w:w="10490" w:type="dxa"/>
        <w:tblInd w:w="45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131"/>
        <w:gridCol w:w="1838"/>
      </w:tblGrid>
      <w:tr w:rsidR="00490BC5" w:rsidRPr="00A5418C" w:rsidTr="00490BC5">
        <w:trPr>
          <w:trHeight w:val="330"/>
        </w:trPr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</w:tr>
      <w:tr w:rsidR="00490BC5" w:rsidRPr="00A5418C" w:rsidTr="00490BC5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490BC5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490BC5" w:rsidRPr="00A5418C" w:rsidTr="00490BC5">
        <w:trPr>
          <w:trHeight w:val="7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90BC5" w:rsidRPr="00A5418C" w:rsidTr="00490BC5">
        <w:trPr>
          <w:trHeight w:val="38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90BC5" w:rsidRPr="00A5418C" w:rsidTr="00490BC5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90BC5" w:rsidRPr="00A5418C" w:rsidTr="00490BC5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90BC5" w:rsidRPr="00A5418C" w:rsidTr="00490BC5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</w:t>
            </w:r>
            <w:r w:rsidRPr="00A5418C">
              <w:rPr>
                <w:sz w:val="16"/>
                <w:szCs w:val="16"/>
              </w:rPr>
              <w:lastRenderedPageBreak/>
              <w:t>превышающей десять процентов в уставном капитале хозяйственного общества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490BC5" w:rsidRPr="00A5418C" w:rsidTr="00490BC5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490BC5" w:rsidRPr="00A5418C" w:rsidTr="00490BC5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C5" w:rsidRPr="007733BB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C5" w:rsidRPr="007733BB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490BC5" w:rsidRPr="00A5418C" w:rsidTr="00490BC5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490BC5" w:rsidRPr="00A5418C" w:rsidTr="00490BC5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>аксимальная) цена контракта – 3 089 130</w:t>
            </w:r>
            <w:r w:rsidRPr="00D36D35">
              <w:rPr>
                <w:b/>
                <w:color w:val="000000"/>
                <w:sz w:val="16"/>
                <w:szCs w:val="16"/>
              </w:rPr>
              <w:t>,</w:t>
            </w:r>
            <w:r w:rsidRPr="009223DE">
              <w:rPr>
                <w:color w:val="000000"/>
                <w:sz w:val="16"/>
                <w:szCs w:val="16"/>
              </w:rPr>
              <w:t>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BC5" w:rsidRPr="00465D1C" w:rsidRDefault="00490BC5" w:rsidP="00FB7890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490BC5" w:rsidRPr="00A5418C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5418C" w:rsidRDefault="00490BC5" w:rsidP="00FB7890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5418C" w:rsidRDefault="00490BC5" w:rsidP="00FB7890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EE3A9B" w:rsidRDefault="00490BC5" w:rsidP="00FB7890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Уралгазстрой</w:t>
            </w:r>
            <w:proofErr w:type="spellEnd"/>
            <w:r w:rsidRPr="00EE3A9B"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490BC5" w:rsidRPr="005C3653" w:rsidRDefault="00490BC5" w:rsidP="00FB7890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490BC5" w:rsidRPr="00A5418C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ул. Студенческая, д.16/1,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55).</w:t>
            </w:r>
            <w:proofErr w:type="gramEnd"/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90BC5" w:rsidRPr="00A5418C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357389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357389">
              <w:rPr>
                <w:sz w:val="16"/>
                <w:szCs w:val="16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  <w:lang w:eastAsia="en-US"/>
              </w:rPr>
              <w:t>Не менее 60%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jc w:val="center"/>
              <w:rPr>
                <w:sz w:val="16"/>
                <w:szCs w:val="16"/>
                <w:lang w:eastAsia="en-US"/>
              </w:rPr>
            </w:pPr>
            <w:r w:rsidRPr="00786A33">
              <w:rPr>
                <w:sz w:val="16"/>
                <w:szCs w:val="16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786A33">
              <w:rPr>
                <w:sz w:val="16"/>
                <w:szCs w:val="16"/>
                <w:lang w:eastAsia="en-US"/>
              </w:rPr>
              <w:t>согласно</w:t>
            </w:r>
            <w:proofErr w:type="gramEnd"/>
            <w:r w:rsidRPr="00786A33">
              <w:rPr>
                <w:sz w:val="16"/>
                <w:szCs w:val="16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Default="00490BC5" w:rsidP="00FB7890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>жилых помещений</w:t>
            </w:r>
            <w:r w:rsidRPr="00BA1E3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Общая площадь </w:t>
            </w:r>
            <w:r>
              <w:rPr>
                <w:b/>
                <w:sz w:val="16"/>
                <w:szCs w:val="16"/>
              </w:rPr>
              <w:t>жилых помещени</w:t>
            </w:r>
            <w:proofErr w:type="gramStart"/>
            <w:r>
              <w:rPr>
                <w:b/>
                <w:sz w:val="16"/>
                <w:szCs w:val="16"/>
              </w:rPr>
              <w:t>й(</w:t>
            </w:r>
            <w:proofErr w:type="gramEnd"/>
            <w:r>
              <w:rPr>
                <w:b/>
                <w:sz w:val="16"/>
                <w:szCs w:val="16"/>
              </w:rPr>
              <w:t>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55,0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BA1E39" w:rsidRDefault="00490BC5" w:rsidP="00FB7890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490BC5" w:rsidRPr="00D36D35" w:rsidRDefault="00490BC5" w:rsidP="00FB7890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490BC5" w:rsidRPr="00BA1E39" w:rsidRDefault="00490BC5" w:rsidP="00FB7890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A2701B" w:rsidRDefault="00490BC5" w:rsidP="00FB789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Соответствует</w:t>
            </w:r>
          </w:p>
        </w:tc>
      </w:tr>
      <w:tr w:rsidR="00490BC5" w:rsidRPr="00656EE3" w:rsidTr="00490BC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kern w:val="1"/>
                <w:sz w:val="16"/>
                <w:szCs w:val="16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Pr="00786A33" w:rsidRDefault="00490BC5" w:rsidP="00FB7890">
            <w:pPr>
              <w:numPr>
                <w:ilvl w:val="2"/>
                <w:numId w:val="0"/>
              </w:numPr>
              <w:tabs>
                <w:tab w:val="num" w:pos="0"/>
                <w:tab w:val="num" w:pos="1080"/>
              </w:tabs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490BC5" w:rsidRPr="00786A33" w:rsidRDefault="00490BC5" w:rsidP="00FB7890">
            <w:pPr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490BC5" w:rsidRPr="00786A33" w:rsidRDefault="00490BC5" w:rsidP="00FB7890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proofErr w:type="gramStart"/>
            <w:r w:rsidRPr="00786A33">
              <w:rPr>
                <w:sz w:val="16"/>
                <w:szCs w:val="16"/>
              </w:rPr>
              <w:t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786A33">
              <w:rPr>
                <w:sz w:val="16"/>
                <w:szCs w:val="16"/>
              </w:rPr>
              <w:t xml:space="preserve"> № 161-ФЗ «О содействии развитию жилищного строительства» либо подпунктом 15 пункта 2 статьи 39.10 Земельного </w:t>
            </w:r>
            <w:r w:rsidRPr="00786A33">
              <w:rPr>
                <w:sz w:val="16"/>
                <w:szCs w:val="16"/>
              </w:rPr>
              <w:lastRenderedPageBreak/>
              <w:t>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490BC5" w:rsidRPr="00786A33" w:rsidRDefault="00490BC5" w:rsidP="00FB7890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490BC5" w:rsidRPr="00786A33" w:rsidRDefault="00490BC5" w:rsidP="00FB7890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6"/>
                <w:szCs w:val="16"/>
              </w:rPr>
            </w:pPr>
            <w:r w:rsidRPr="00786A33">
              <w:rPr>
                <w:rFonts w:eastAsia="Calibri"/>
                <w:sz w:val="16"/>
                <w:szCs w:val="16"/>
              </w:rPr>
              <w:t xml:space="preserve">д) действующее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 xml:space="preserve">заключение положительной экспертизы </w:t>
            </w:r>
            <w:r w:rsidRPr="00786A33">
              <w:rPr>
                <w:rFonts w:eastAsia="Calibri"/>
                <w:sz w:val="16"/>
                <w:szCs w:val="16"/>
              </w:rPr>
              <w:t xml:space="preserve">о соответствии застройщика и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786A33">
              <w:rPr>
                <w:rFonts w:eastAsia="Calibri"/>
                <w:sz w:val="16"/>
                <w:szCs w:val="16"/>
              </w:rPr>
              <w:t>;</w:t>
            </w:r>
          </w:p>
          <w:p w:rsidR="00490BC5" w:rsidRPr="00786A33" w:rsidRDefault="00490BC5" w:rsidP="00FB7890">
            <w:pPr>
              <w:pStyle w:val="a6"/>
              <w:ind w:firstLine="540"/>
              <w:jc w:val="both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490BC5" w:rsidRPr="00BA1E39" w:rsidRDefault="00490BC5" w:rsidP="00FB7890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C5" w:rsidRDefault="00490BC5" w:rsidP="00FB7890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Предоставлены</w:t>
            </w:r>
          </w:p>
        </w:tc>
      </w:tr>
    </w:tbl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p w:rsidR="00AB2523" w:rsidRDefault="00AB2523"/>
    <w:sectPr w:rsidR="00AB2523" w:rsidSect="008B573F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CE"/>
    <w:rsid w:val="000F00BD"/>
    <w:rsid w:val="00360C73"/>
    <w:rsid w:val="00361ACE"/>
    <w:rsid w:val="003A467B"/>
    <w:rsid w:val="00490BC5"/>
    <w:rsid w:val="004F5628"/>
    <w:rsid w:val="00681D83"/>
    <w:rsid w:val="00823F29"/>
    <w:rsid w:val="008B573F"/>
    <w:rsid w:val="00AB2523"/>
    <w:rsid w:val="00B16354"/>
    <w:rsid w:val="00BB75D2"/>
    <w:rsid w:val="00C92B16"/>
    <w:rsid w:val="00CB1C21"/>
    <w:rsid w:val="00E46149"/>
    <w:rsid w:val="00F01658"/>
    <w:rsid w:val="00F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1F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A2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A21F6"/>
    <w:pPr>
      <w:ind w:left="720"/>
      <w:contextualSpacing/>
    </w:pPr>
  </w:style>
  <w:style w:type="paragraph" w:styleId="a6">
    <w:name w:val="No Spacing"/>
    <w:link w:val="a7"/>
    <w:uiPriority w:val="1"/>
    <w:qFormat/>
    <w:rsid w:val="00490B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490BC5"/>
    <w:rPr>
      <w:i/>
      <w:iCs/>
    </w:rPr>
  </w:style>
  <w:style w:type="character" w:customStyle="1" w:styleId="a7">
    <w:name w:val="Без интервала Знак"/>
    <w:link w:val="a6"/>
    <w:uiPriority w:val="1"/>
    <w:rsid w:val="00490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1F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A2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A21F6"/>
    <w:pPr>
      <w:ind w:left="720"/>
      <w:contextualSpacing/>
    </w:pPr>
  </w:style>
  <w:style w:type="paragraph" w:styleId="a6">
    <w:name w:val="No Spacing"/>
    <w:link w:val="a7"/>
    <w:uiPriority w:val="1"/>
    <w:qFormat/>
    <w:rsid w:val="00490B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490BC5"/>
    <w:rPr>
      <w:i/>
      <w:iCs/>
    </w:rPr>
  </w:style>
  <w:style w:type="character" w:customStyle="1" w:styleId="a7">
    <w:name w:val="Без интервала Знак"/>
    <w:link w:val="a6"/>
    <w:uiPriority w:val="1"/>
    <w:rsid w:val="00490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2018-10-04T04:13:00Z</cp:lastPrinted>
  <dcterms:created xsi:type="dcterms:W3CDTF">2018-10-02T06:04:00Z</dcterms:created>
  <dcterms:modified xsi:type="dcterms:W3CDTF">2018-10-04T06:37:00Z</dcterms:modified>
</cp:coreProperties>
</file>