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 xml:space="preserve">Приложение </w:t>
      </w:r>
      <w:r>
        <w:rPr>
          <w:rFonts w:ascii="PT Astra Serif" w:hAnsi="PT Astra Serif"/>
          <w:color w:val="000000"/>
        </w:rPr>
        <w:t>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</w:t>
      </w:r>
      <w:bookmarkStart w:id="2" w:name="_GoBack"/>
      <w:bookmarkEnd w:id="2"/>
      <w:r>
        <w:rPr>
          <w:rFonts w:ascii="PT Astra Serif" w:hAnsi="PT Astra Serif"/>
          <w:color w:val="000000"/>
        </w:rPr>
        <w:t>ении закупки</w:t>
      </w: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762D8" w:rsidRDefault="00A762D8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705EED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3" w:name="_Ref248562863"/>
      <w:bookmarkEnd w:id="0"/>
      <w:bookmarkEnd w:id="1"/>
    </w:p>
    <w:p w:rsidR="001F7567" w:rsidRDefault="001F7567" w:rsidP="001F7567">
      <w:pPr>
        <w:keepNext/>
        <w:keepLines/>
        <w:widowControl w:val="0"/>
        <w:suppressLineNumbers/>
        <w:tabs>
          <w:tab w:val="left" w:pos="5584"/>
        </w:tabs>
        <w:jc w:val="center"/>
        <w:rPr>
          <w:rFonts w:ascii="PT Astra Serif" w:hAnsi="PT Astra Serif"/>
          <w:b/>
          <w:bCs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С момента подписания муниципального контракта по 01 декабря 2022 года: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подготовка межевого плана земельного участка в течение 30 дней с момента направления заявки от Заказчика;</w:t>
      </w:r>
    </w:p>
    <w:p w:rsidR="001F7567" w:rsidRDefault="001F7567" w:rsidP="001F7567">
      <w:pPr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- закрепление на местности межевыми знаками границ земельного участка в течение 30 дней с момента направления дополнительной заявки от Заказчика.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Оказание услуг по формированию 52 (пятьдесят два) земельных участков, предназначенных для различных видов использования, площадью от 0,01 га до 10 га. </w:t>
      </w:r>
    </w:p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Услуги включают в себя:</w:t>
      </w:r>
    </w:p>
    <w:p w:rsidR="001F7567" w:rsidRDefault="001F7567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1. Подготовка схемы расположения земельного участка на кадастровом плане территории (по требованию Заказчика).</w:t>
      </w:r>
    </w:p>
    <w:p w:rsidR="001F7567" w:rsidRDefault="001F7567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2. Определение границ земельного участка на местности, их согласование и закрепление на местности межевыми знаками (по требованию Заказчика).</w:t>
      </w:r>
    </w:p>
    <w:p w:rsidR="001F7567" w:rsidRDefault="001F7567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3. Согласование местоположение границ земельного участка со смежными землепользователями и всеми заинтересованными лицами.</w:t>
      </w:r>
    </w:p>
    <w:p w:rsidR="001F7567" w:rsidRDefault="001F7567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4. Подготовка пакета документов для постановки земельного участка на государственный кадастровый учет, в т.ч. межевого плана,</w:t>
      </w:r>
      <w:r>
        <w:rPr>
          <w:rFonts w:ascii="PT Astra Serif" w:hAnsi="PT Astra Serif"/>
        </w:rPr>
        <w:t xml:space="preserve"> сопровождение процедуры постановки государственного кадастрового учета.</w:t>
      </w:r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>Услуги оказываются в соответствии</w:t>
      </w:r>
      <w:r>
        <w:rPr>
          <w:rFonts w:ascii="PT Astra Serif" w:hAnsi="PT Astra Serif"/>
        </w:rPr>
        <w:t xml:space="preserve"> со следующими нормативно-правовыми актами: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Земельный кодекс Российской Федерации от 25.10.2001 № 136- 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13.07.2015 № 218-ФЗ «О государственной регистрации недвижимости»;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18.06.2001 № 78-ФЗ «О землеустройстве»;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- Приказ Минэкономразвития России от 08.12.2015 № 921 «Об утверждении формы и состава сведений межевого плана, требований к его подготовке»;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-Письмо минэкономразвития РФ от 27.03.2009 № 4448-ИМ/Д23 «Об устранении несоответствий в местоположении границ земельных участков»;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- Свод правил СП 47.13330.2016 «Инженерные изыскания для строительства. Основные положения" Актуализированная редакция СНиП 11-02-96 (утв. приказом Министерства строительства и жилищно-коммунального хозяйства РФ от 30 декабря 2016 г. N 1033/пр);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СП 11-104-97 «Инженерно-геодезические изыскания для строительства» 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7. Результат оказанных услуг: 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носителе по требованию Заказчика));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 xml:space="preserve">- закрепление на местности межевыми знаками границ земельных участков и передача их Заказчику </w:t>
      </w:r>
      <w:r>
        <w:rPr>
          <w:rFonts w:ascii="PT Astra Serif" w:hAnsi="PT Astra Serif"/>
        </w:rPr>
        <w:t>(по требованию Заказчика)</w:t>
      </w:r>
      <w:r>
        <w:rPr>
          <w:rFonts w:ascii="PT Astra Serif" w:hAnsi="PT Astra Serif"/>
          <w:snapToGrid w:val="0"/>
        </w:rPr>
        <w:t>.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Первый заместитель главы города –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директор Департамента  муниципальной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>собственности и градостроительства                                                                        С.Д. Голин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3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35" w:rsidRDefault="00004735" w:rsidP="00A762D8">
      <w:pPr>
        <w:spacing w:after="0"/>
      </w:pPr>
      <w:r>
        <w:separator/>
      </w:r>
    </w:p>
  </w:endnote>
  <w:endnote w:type="continuationSeparator" w:id="0">
    <w:p w:rsidR="00004735" w:rsidRDefault="00004735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35" w:rsidRDefault="00004735" w:rsidP="00A762D8">
      <w:pPr>
        <w:spacing w:after="0"/>
      </w:pPr>
      <w:r>
        <w:separator/>
      </w:r>
    </w:p>
  </w:footnote>
  <w:footnote w:type="continuationSeparator" w:id="0">
    <w:p w:rsidR="00004735" w:rsidRDefault="00004735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D1E95"/>
    <w:rsid w:val="001E5896"/>
    <w:rsid w:val="001F7567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39A6"/>
    <w:rsid w:val="00325BAD"/>
    <w:rsid w:val="003508A3"/>
    <w:rsid w:val="00357E3E"/>
    <w:rsid w:val="00384FF8"/>
    <w:rsid w:val="00386737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441DE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860CB"/>
    <w:rsid w:val="006B5E72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B6B81"/>
    <w:rsid w:val="007E38C0"/>
    <w:rsid w:val="00800984"/>
    <w:rsid w:val="0082432B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7351C"/>
    <w:rsid w:val="00DC1E69"/>
    <w:rsid w:val="00DC3AB7"/>
    <w:rsid w:val="00DE32B3"/>
    <w:rsid w:val="00DE6E38"/>
    <w:rsid w:val="00E14240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9115-E41E-40C2-914A-064F09D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49</cp:revision>
  <cp:lastPrinted>2022-02-18T06:47:00Z</cp:lastPrinted>
  <dcterms:created xsi:type="dcterms:W3CDTF">2020-01-21T11:59:00Z</dcterms:created>
  <dcterms:modified xsi:type="dcterms:W3CDTF">2022-02-18T06:47:00Z</dcterms:modified>
</cp:coreProperties>
</file>