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54" w:rsidRDefault="00B42254" w:rsidP="006A6B09">
      <w:pPr>
        <w:jc w:val="center"/>
        <w:rPr>
          <w:b/>
        </w:rPr>
      </w:pPr>
    </w:p>
    <w:p w:rsidR="006A6B09" w:rsidRDefault="006A6B09" w:rsidP="006A6B09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6A6B09" w:rsidRDefault="006A6B09" w:rsidP="006A6B09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6A6B09" w:rsidRDefault="006A6B09" w:rsidP="006A6B09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6A6B09" w:rsidRDefault="006A6B09" w:rsidP="006A6B09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6A6B09" w:rsidRDefault="006A6B09" w:rsidP="006A6B09">
      <w:pPr>
        <w:jc w:val="center"/>
        <w:rPr>
          <w:b/>
        </w:rPr>
      </w:pPr>
    </w:p>
    <w:p w:rsidR="007B55D8" w:rsidRPr="007B74DA" w:rsidRDefault="006A6B09" w:rsidP="006A6B09">
      <w:pPr>
        <w:jc w:val="both"/>
      </w:pPr>
      <w:r>
        <w:t xml:space="preserve">       «</w:t>
      </w:r>
      <w:r w:rsidR="00805DD9">
        <w:t>22</w:t>
      </w:r>
      <w:r w:rsidR="00605EC8" w:rsidRPr="007B74DA">
        <w:t xml:space="preserve">» </w:t>
      </w:r>
      <w:r w:rsidR="007B55D8">
        <w:t xml:space="preserve">марта </w:t>
      </w:r>
      <w:r w:rsidRPr="007B74DA">
        <w:t xml:space="preserve"> 2018 г.                                                                                 № 018730000581</w:t>
      </w:r>
      <w:r w:rsidR="00605EC8" w:rsidRPr="007B74DA">
        <w:t>8</w:t>
      </w:r>
      <w:r w:rsidRPr="007B74DA">
        <w:t>000</w:t>
      </w:r>
      <w:r w:rsidR="00605EC8" w:rsidRPr="007B74DA">
        <w:t>0</w:t>
      </w:r>
      <w:r w:rsidR="00805DD9">
        <w:t>88</w:t>
      </w:r>
      <w:r w:rsidRPr="007B74DA">
        <w:t>-1</w:t>
      </w:r>
    </w:p>
    <w:p w:rsidR="00551618" w:rsidRDefault="00551618" w:rsidP="00551618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>
        <w:t xml:space="preserve">ПРИСУТСТВОВАЛИ: </w:t>
      </w:r>
    </w:p>
    <w:p w:rsidR="00551618" w:rsidRDefault="00551618" w:rsidP="00551618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>
        <w:t xml:space="preserve">Единая комиссия по осуществлению закупок для обеспечения муниципальных нужд города </w:t>
      </w:r>
      <w:proofErr w:type="spellStart"/>
      <w:r>
        <w:t>Югорска</w:t>
      </w:r>
      <w:proofErr w:type="spellEnd"/>
      <w:r>
        <w:t xml:space="preserve"> (далее - комиссия) в следующем  составе:</w:t>
      </w:r>
    </w:p>
    <w:p w:rsidR="00551618" w:rsidRDefault="00551618" w:rsidP="00551618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>
        <w:t xml:space="preserve">1. </w:t>
      </w:r>
      <w:r>
        <w:rPr>
          <w:spacing w:val="-6"/>
        </w:rPr>
        <w:t xml:space="preserve">С.Д. </w:t>
      </w:r>
      <w:proofErr w:type="spellStart"/>
      <w:r>
        <w:rPr>
          <w:spacing w:val="-6"/>
        </w:rPr>
        <w:t>Голин</w:t>
      </w:r>
      <w:proofErr w:type="spellEnd"/>
      <w:r>
        <w:rPr>
          <w:spacing w:val="-6"/>
        </w:rPr>
        <w:t xml:space="preserve"> - </w:t>
      </w:r>
      <w:r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t>Югорска</w:t>
      </w:r>
      <w:proofErr w:type="spellEnd"/>
      <w:r>
        <w:t>;</w:t>
      </w:r>
    </w:p>
    <w:p w:rsidR="00551618" w:rsidRDefault="00551618" w:rsidP="00551618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>
        <w:t xml:space="preserve">2. В.А. </w:t>
      </w:r>
      <w:proofErr w:type="spellStart"/>
      <w:r>
        <w:t>Климин</w:t>
      </w:r>
      <w:proofErr w:type="spellEnd"/>
      <w:r>
        <w:t xml:space="preserve"> – председатель Думы города </w:t>
      </w:r>
      <w:proofErr w:type="spellStart"/>
      <w:r>
        <w:t>Югорска</w:t>
      </w:r>
      <w:proofErr w:type="spellEnd"/>
      <w:r>
        <w:t>;</w:t>
      </w:r>
    </w:p>
    <w:p w:rsidR="00551618" w:rsidRDefault="00551618" w:rsidP="00551618">
      <w:pPr>
        <w:ind w:left="426"/>
      </w:pPr>
      <w:r>
        <w:t xml:space="preserve">3. Т.И. </w:t>
      </w:r>
      <w:proofErr w:type="spellStart"/>
      <w:r>
        <w:t>Долгодворова</w:t>
      </w:r>
      <w:proofErr w:type="spellEnd"/>
      <w:r>
        <w:t xml:space="preserve"> - заместитель главы города </w:t>
      </w:r>
      <w:proofErr w:type="spellStart"/>
      <w:r>
        <w:t>Югорска</w:t>
      </w:r>
      <w:proofErr w:type="spellEnd"/>
      <w:r>
        <w:t>;</w:t>
      </w:r>
    </w:p>
    <w:p w:rsidR="00551618" w:rsidRDefault="00551618" w:rsidP="00551618">
      <w:pPr>
        <w:ind w:left="426"/>
      </w:pPr>
      <w:r>
        <w:t>4.  Н.А. Морозова – советник руководителя;</w:t>
      </w:r>
    </w:p>
    <w:p w:rsidR="00551618" w:rsidRDefault="00551618" w:rsidP="00551618">
      <w:pPr>
        <w:ind w:left="426"/>
      </w:pPr>
      <w:r>
        <w:t xml:space="preserve">5. Ж.В. </w:t>
      </w:r>
      <w:proofErr w:type="spellStart"/>
      <w:r>
        <w:t>Резинкина</w:t>
      </w:r>
      <w:proofErr w:type="spellEnd"/>
      <w: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>
        <w:t>Югорска</w:t>
      </w:r>
      <w:proofErr w:type="spellEnd"/>
      <w:r>
        <w:t>;</w:t>
      </w:r>
    </w:p>
    <w:p w:rsidR="00551618" w:rsidRDefault="00551618" w:rsidP="00551618">
      <w:pPr>
        <w:ind w:left="426"/>
        <w:jc w:val="both"/>
      </w:pPr>
      <w:r>
        <w:t xml:space="preserve">6.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t>Югорска</w:t>
      </w:r>
      <w:proofErr w:type="spellEnd"/>
      <w:r>
        <w:t>;</w:t>
      </w:r>
    </w:p>
    <w:p w:rsidR="00551618" w:rsidRDefault="00551618" w:rsidP="00551618">
      <w:pPr>
        <w:ind w:left="426"/>
        <w:jc w:val="both"/>
      </w:pPr>
      <w:r>
        <w:t xml:space="preserve">7. 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t>Югорска</w:t>
      </w:r>
      <w:proofErr w:type="spellEnd"/>
      <w:r>
        <w:t xml:space="preserve">. </w:t>
      </w:r>
    </w:p>
    <w:p w:rsidR="00551618" w:rsidRDefault="00551618" w:rsidP="00551618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>
        <w:t>Всего присутствовали 7 членов комиссии из 8.</w:t>
      </w:r>
    </w:p>
    <w:p w:rsidR="005C7173" w:rsidRPr="007C2CFF" w:rsidRDefault="005C7173" w:rsidP="005C7173">
      <w:pPr>
        <w:ind w:left="425"/>
        <w:jc w:val="both"/>
      </w:pPr>
      <w:r w:rsidRPr="007C2CFF">
        <w:t xml:space="preserve">Представитель заказчика: </w:t>
      </w:r>
      <w:proofErr w:type="spellStart"/>
      <w:r w:rsidR="00433EB0">
        <w:t>Прошкина</w:t>
      </w:r>
      <w:proofErr w:type="spellEnd"/>
      <w:r w:rsidR="00433EB0"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433EB0">
        <w:t>Югорска</w:t>
      </w:r>
      <w:proofErr w:type="spellEnd"/>
      <w:r w:rsidR="00433EB0">
        <w:t>.</w:t>
      </w:r>
    </w:p>
    <w:p w:rsidR="006A6B09" w:rsidRDefault="006A6B09" w:rsidP="00605EC8">
      <w:pPr>
        <w:tabs>
          <w:tab w:val="num" w:pos="0"/>
          <w:tab w:val="num" w:pos="567"/>
        </w:tabs>
        <w:ind w:left="426"/>
        <w:jc w:val="both"/>
      </w:pPr>
      <w:r>
        <w:t xml:space="preserve">1. Наименование аукциона: аукцион в </w:t>
      </w:r>
      <w:r w:rsidRPr="00605EC8">
        <w:t>электронной форме № 018730000581</w:t>
      </w:r>
      <w:r w:rsidR="00605EC8" w:rsidRPr="00605EC8">
        <w:t>8</w:t>
      </w:r>
      <w:r w:rsidRPr="00605EC8">
        <w:t>000</w:t>
      </w:r>
      <w:r w:rsidR="00605EC8" w:rsidRPr="00605EC8">
        <w:t>0</w:t>
      </w:r>
      <w:r w:rsidR="00433EB0">
        <w:t>88</w:t>
      </w:r>
      <w:r w:rsidRPr="00605EC8">
        <w:t xml:space="preserve"> </w:t>
      </w:r>
      <w:r w:rsidR="00433EB0">
        <w:t>на право заключения муниципального контракта на поставку жилых помещений.</w:t>
      </w:r>
    </w:p>
    <w:p w:rsidR="006A6B09" w:rsidRPr="007B55D8" w:rsidRDefault="006A6B09" w:rsidP="006A6B09">
      <w:pPr>
        <w:ind w:left="426"/>
        <w:jc w:val="both"/>
      </w:pPr>
      <w:r>
        <w:t xml:space="preserve">1.1 Номер извещения о проведении торгов на </w:t>
      </w:r>
      <w:r w:rsidRPr="00605EC8">
        <w:t xml:space="preserve">официальном сайте – </w:t>
      </w:r>
      <w:hyperlink r:id="rId7" w:history="1">
        <w:r w:rsidRPr="00605EC8">
          <w:rPr>
            <w:rStyle w:val="a3"/>
            <w:color w:val="auto"/>
            <w:u w:val="none"/>
          </w:rPr>
          <w:t>http://zakupki.gov.ru/</w:t>
        </w:r>
      </w:hyperlink>
      <w:r w:rsidRPr="00605EC8">
        <w:t>, код аукциона 018730000581</w:t>
      </w:r>
      <w:r w:rsidR="00605EC8" w:rsidRPr="00605EC8">
        <w:t>8</w:t>
      </w:r>
      <w:r w:rsidRPr="00605EC8">
        <w:t>000</w:t>
      </w:r>
      <w:r w:rsidR="00605EC8" w:rsidRPr="00605EC8">
        <w:t>0</w:t>
      </w:r>
      <w:r w:rsidR="00CB6059">
        <w:t>88</w:t>
      </w:r>
      <w:r w:rsidRPr="00605EC8">
        <w:t xml:space="preserve">, дата </w:t>
      </w:r>
      <w:r w:rsidRPr="007B55D8">
        <w:t xml:space="preserve">публикации </w:t>
      </w:r>
      <w:r w:rsidR="00CB6059">
        <w:t>12</w:t>
      </w:r>
      <w:r w:rsidRPr="007B55D8">
        <w:t>.</w:t>
      </w:r>
      <w:r w:rsidR="001C18BE" w:rsidRPr="007B55D8">
        <w:t>0</w:t>
      </w:r>
      <w:r w:rsidR="00CB6059">
        <w:t>3</w:t>
      </w:r>
      <w:r w:rsidRPr="007B55D8">
        <w:t>.201</w:t>
      </w:r>
      <w:r w:rsidR="00605EC8" w:rsidRPr="007B55D8">
        <w:t>8</w:t>
      </w:r>
      <w:r w:rsidRPr="007B55D8">
        <w:t xml:space="preserve">. </w:t>
      </w:r>
    </w:p>
    <w:p w:rsidR="006A6B09" w:rsidRPr="007B55D8" w:rsidRDefault="006A6B09" w:rsidP="006A6B09">
      <w:pPr>
        <w:ind w:left="426"/>
        <w:jc w:val="both"/>
      </w:pPr>
      <w:r w:rsidRPr="007B55D8">
        <w:t xml:space="preserve">Идентификационный код закупки: </w:t>
      </w:r>
      <w:r w:rsidR="00433EB0">
        <w:t>183862201149086220100110220076810412</w:t>
      </w:r>
      <w:r w:rsidRPr="007B55D8">
        <w:t>.</w:t>
      </w:r>
    </w:p>
    <w:p w:rsidR="006A6B09" w:rsidRDefault="006A6B09" w:rsidP="006A6B09">
      <w:pPr>
        <w:ind w:left="426"/>
        <w:jc w:val="both"/>
      </w:pPr>
      <w:r>
        <w:t xml:space="preserve">2. </w:t>
      </w:r>
      <w:r w:rsidRPr="00605EC8">
        <w:t xml:space="preserve">Заказчик: </w:t>
      </w:r>
      <w:r w:rsidR="00433EB0">
        <w:t xml:space="preserve">Департамент муниципальной собственности и градостроительства администрации города </w:t>
      </w:r>
      <w:proofErr w:type="spellStart"/>
      <w:r w:rsidR="00433EB0">
        <w:t>Югорска</w:t>
      </w:r>
      <w:proofErr w:type="spellEnd"/>
      <w:r w:rsidR="00433EB0">
        <w:t>.</w:t>
      </w:r>
      <w:r w:rsidR="005E3308">
        <w:t xml:space="preserve"> </w:t>
      </w:r>
      <w:proofErr w:type="gramStart"/>
      <w:r w:rsidRPr="00DE2B36">
        <w:t xml:space="preserve">Почтовый адрес: </w:t>
      </w:r>
      <w:r w:rsidR="00433EB0">
        <w:t xml:space="preserve">628260, Ханты - Мансийский автономный округ - Югра, Тюменская обл.,  г. </w:t>
      </w:r>
      <w:proofErr w:type="spellStart"/>
      <w:r w:rsidR="00433EB0">
        <w:t>Югорск</w:t>
      </w:r>
      <w:proofErr w:type="spellEnd"/>
      <w:r w:rsidR="00433EB0">
        <w:t>, ул. 40 лет Победы, 11.</w:t>
      </w:r>
      <w:proofErr w:type="gramEnd"/>
    </w:p>
    <w:p w:rsidR="006A6B09" w:rsidRPr="00CE2BCD" w:rsidRDefault="006A6B09" w:rsidP="006A6B09">
      <w:pPr>
        <w:ind w:left="426"/>
        <w:jc w:val="both"/>
      </w:pPr>
      <w:r>
        <w:t xml:space="preserve">3. Процедура рассмотрения первых частей заявок на участие в аукционе была проведена </w:t>
      </w:r>
      <w:r w:rsidRPr="00CE2BCD">
        <w:t xml:space="preserve">комиссией в 10.00 часов </w:t>
      </w:r>
      <w:r w:rsidR="00433EB0">
        <w:t>22</w:t>
      </w:r>
      <w:r w:rsidR="00605EC8">
        <w:t xml:space="preserve"> </w:t>
      </w:r>
      <w:r w:rsidR="007B55D8">
        <w:t>марта</w:t>
      </w:r>
      <w:r w:rsidRPr="00CE2BCD">
        <w:t xml:space="preserve"> 2018 года, по адресу: ул. 40 лет Победы, 11, г. </w:t>
      </w:r>
      <w:proofErr w:type="spellStart"/>
      <w:r w:rsidRPr="00CE2BCD">
        <w:t>Югорск</w:t>
      </w:r>
      <w:proofErr w:type="spellEnd"/>
      <w:r w:rsidRPr="00CE2BCD">
        <w:t>, Ханты-Мансийский  автономный округ-Югра.</w:t>
      </w:r>
    </w:p>
    <w:p w:rsidR="006A6B09" w:rsidRPr="00D70E40" w:rsidRDefault="006A6B09" w:rsidP="006A6B09">
      <w:pPr>
        <w:ind w:left="426"/>
        <w:jc w:val="both"/>
      </w:pPr>
      <w:r w:rsidRPr="00CE2BCD">
        <w:t xml:space="preserve">4. Количество поступивших заявок на участие  в </w:t>
      </w:r>
      <w:r w:rsidRPr="00D70E40">
        <w:t xml:space="preserve">аукционе – </w:t>
      </w:r>
      <w:r w:rsidR="00433EB0">
        <w:t>3</w:t>
      </w:r>
      <w:r w:rsidRPr="00D70E40">
        <w:t xml:space="preserve">. </w:t>
      </w:r>
    </w:p>
    <w:p w:rsidR="00B42254" w:rsidRPr="00D70E40" w:rsidRDefault="006A6B09" w:rsidP="00551618">
      <w:pPr>
        <w:ind w:left="426"/>
        <w:jc w:val="both"/>
      </w:pPr>
      <w:r w:rsidRPr="00D70E40">
        <w:t xml:space="preserve">5. Комиссия рассмотрела первые части заявок и приняла следующее решение: </w:t>
      </w:r>
    </w:p>
    <w:tbl>
      <w:tblPr>
        <w:tblW w:w="4666" w:type="pct"/>
        <w:tblInd w:w="441" w:type="dxa"/>
        <w:tblLook w:val="00A0" w:firstRow="1" w:lastRow="0" w:firstColumn="1" w:lastColumn="0" w:noHBand="0" w:noVBand="0"/>
      </w:tblPr>
      <w:tblGrid>
        <w:gridCol w:w="1871"/>
        <w:gridCol w:w="2643"/>
        <w:gridCol w:w="5567"/>
      </w:tblGrid>
      <w:tr w:rsidR="006A6B09" w:rsidRPr="00D70E40" w:rsidTr="00507DE6"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D70E40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70E40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D70E40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70E40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D70E40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70E40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6A6B09" w:rsidRPr="00D70E40" w:rsidTr="00507DE6">
        <w:trPr>
          <w:trHeight w:val="112"/>
        </w:trPr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6B09" w:rsidRPr="00D70E40" w:rsidRDefault="00433E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D70E40" w:rsidRDefault="006A6B0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0E40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B09" w:rsidRPr="00D70E40" w:rsidRDefault="006A6B09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433EB0" w:rsidRPr="00CE2BCD" w:rsidTr="00507DE6">
        <w:trPr>
          <w:trHeight w:val="112"/>
        </w:trPr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EB0" w:rsidRPr="00D70E40" w:rsidRDefault="00433E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EB0" w:rsidRPr="001119C7" w:rsidRDefault="00433EB0" w:rsidP="000D0AB1">
            <w:pPr>
              <w:jc w:val="center"/>
              <w:rPr>
                <w:spacing w:val="-6"/>
                <w:sz w:val="18"/>
                <w:szCs w:val="18"/>
              </w:rPr>
            </w:pPr>
            <w:r w:rsidRPr="001119C7">
              <w:rPr>
                <w:spacing w:val="-6"/>
                <w:sz w:val="18"/>
                <w:szCs w:val="18"/>
              </w:rPr>
              <w:t>отказать в допуске к участию в аукционе.</w:t>
            </w:r>
          </w:p>
        </w:tc>
        <w:tc>
          <w:tcPr>
            <w:tcW w:w="2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3308" w:rsidRPr="00551618" w:rsidRDefault="00433EB0" w:rsidP="000D0AB1">
            <w:pPr>
              <w:jc w:val="both"/>
              <w:rPr>
                <w:noProof/>
                <w:sz w:val="20"/>
                <w:szCs w:val="20"/>
              </w:rPr>
            </w:pPr>
            <w:bookmarkStart w:id="0" w:name="_GoBack"/>
            <w:r w:rsidRPr="00551618">
              <w:rPr>
                <w:noProof/>
                <w:sz w:val="20"/>
                <w:szCs w:val="20"/>
              </w:rPr>
              <w:t>На основании  подпункта 1 части 4 статьи 67 Федерального закона от 05.04.2013 №44-ФЗ за непредоставление информации, предусмотренной частью 3 статьи 66 Федерального закона от 05.04.2013 №44-ФЗ,  а именно</w:t>
            </w:r>
            <w:r w:rsidR="00F17271">
              <w:rPr>
                <w:noProof/>
                <w:sz w:val="20"/>
                <w:szCs w:val="20"/>
              </w:rPr>
              <w:t xml:space="preserve"> </w:t>
            </w:r>
            <w:r w:rsidRPr="00551618">
              <w:rPr>
                <w:noProof/>
                <w:sz w:val="20"/>
                <w:szCs w:val="20"/>
              </w:rPr>
              <w:t>отсутствуют конкретные показатели предлагаемого товара</w:t>
            </w:r>
            <w:r w:rsidR="005E3308" w:rsidRPr="00551618">
              <w:rPr>
                <w:noProof/>
                <w:sz w:val="20"/>
                <w:szCs w:val="20"/>
              </w:rPr>
              <w:t>:</w:t>
            </w:r>
          </w:p>
          <w:p w:rsidR="005E3308" w:rsidRPr="00551618" w:rsidRDefault="005E3308" w:rsidP="000D0AB1">
            <w:pPr>
              <w:jc w:val="both"/>
              <w:rPr>
                <w:noProof/>
                <w:sz w:val="20"/>
                <w:szCs w:val="20"/>
              </w:rPr>
            </w:pPr>
            <w:r w:rsidRPr="00551618">
              <w:rPr>
                <w:noProof/>
                <w:sz w:val="20"/>
                <w:szCs w:val="20"/>
              </w:rPr>
              <w:t>- по пункту 1. Адрес – не указан конкретный адрес квартиры;</w:t>
            </w:r>
          </w:p>
          <w:p w:rsidR="00433EB0" w:rsidRPr="00551618" w:rsidRDefault="005E3308" w:rsidP="000D0AB1">
            <w:pPr>
              <w:jc w:val="both"/>
              <w:rPr>
                <w:noProof/>
                <w:sz w:val="20"/>
                <w:szCs w:val="20"/>
              </w:rPr>
            </w:pPr>
            <w:r w:rsidRPr="00551618">
              <w:rPr>
                <w:noProof/>
                <w:sz w:val="20"/>
                <w:szCs w:val="20"/>
              </w:rPr>
              <w:t>-</w:t>
            </w:r>
            <w:r w:rsidR="00433EB0" w:rsidRPr="00551618">
              <w:rPr>
                <w:noProof/>
                <w:sz w:val="20"/>
                <w:szCs w:val="20"/>
              </w:rPr>
              <w:t xml:space="preserve"> по пункту 9. Количество комнат – в описании характеристик товара присутствуют слова «не менее» </w:t>
            </w:r>
            <w:r w:rsidRPr="00551618">
              <w:rPr>
                <w:noProof/>
                <w:sz w:val="20"/>
                <w:szCs w:val="20"/>
              </w:rPr>
              <w:t>(«не менее 1»).</w:t>
            </w:r>
          </w:p>
          <w:p w:rsidR="00433EB0" w:rsidRPr="00551618" w:rsidRDefault="00433EB0" w:rsidP="000D0AB1">
            <w:pPr>
              <w:jc w:val="both"/>
              <w:rPr>
                <w:noProof/>
                <w:sz w:val="20"/>
                <w:szCs w:val="20"/>
              </w:rPr>
            </w:pPr>
            <w:r w:rsidRPr="00551618">
              <w:rPr>
                <w:noProof/>
                <w:sz w:val="20"/>
                <w:szCs w:val="20"/>
              </w:rPr>
              <w:t>Положения документации об аукционе в электронной форме, которым не соответствует заявка на участие в аукционе: п.23 Части I. Сведения о проводимом аукционе в электронной форме.</w:t>
            </w:r>
          </w:p>
          <w:p w:rsidR="00433EB0" w:rsidRPr="001119C7" w:rsidRDefault="00433EB0" w:rsidP="000D0AB1">
            <w:pPr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551618">
              <w:rPr>
                <w:noProof/>
                <w:sz w:val="20"/>
                <w:szCs w:val="20"/>
              </w:rPr>
              <w:t>Положения заявки на участие в аукционе, которые не соответствуют требованиям документации об аукционе: Первая часть заявки на участие в аукционе.</w:t>
            </w:r>
            <w:bookmarkEnd w:id="0"/>
          </w:p>
        </w:tc>
      </w:tr>
      <w:tr w:rsidR="00433EB0" w:rsidRPr="00CE2BCD" w:rsidTr="00507DE6">
        <w:trPr>
          <w:trHeight w:val="112"/>
        </w:trPr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EB0" w:rsidRPr="00D70E40" w:rsidRDefault="00433E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EB0" w:rsidRPr="00D70E40" w:rsidRDefault="00433EB0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0E40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EB0" w:rsidRPr="00CE2BCD" w:rsidRDefault="00433EB0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6A6B09" w:rsidRDefault="006A6B09" w:rsidP="006A6B09">
      <w:pPr>
        <w:spacing w:before="120"/>
        <w:ind w:left="426"/>
        <w:jc w:val="both"/>
        <w:rPr>
          <w:bCs/>
        </w:rPr>
      </w:pPr>
      <w:r>
        <w:lastRenderedPageBreak/>
        <w:t xml:space="preserve">6. Настоящий протокол подлежит размещению на сайте оператора электронной площадки   </w:t>
      </w:r>
      <w:hyperlink r:id="rId8" w:history="1">
        <w:r>
          <w:rPr>
            <w:rStyle w:val="a3"/>
            <w:color w:val="auto"/>
            <w:u w:val="none"/>
          </w:rPr>
          <w:t>http://www.sberbank-ast.ru</w:t>
        </w:r>
      </w:hyperlink>
      <w:r>
        <w:t>.</w:t>
      </w:r>
    </w:p>
    <w:p w:rsidR="006A6B09" w:rsidRDefault="006A6B09" w:rsidP="006A6B09">
      <w:pPr>
        <w:ind w:left="426"/>
        <w:jc w:val="both"/>
        <w:rPr>
          <w:spacing w:val="-6"/>
        </w:rPr>
      </w:pPr>
    </w:p>
    <w:p w:rsidR="006A6B09" w:rsidRDefault="006A6B09" w:rsidP="006A6B09">
      <w:pPr>
        <w:ind w:left="284"/>
        <w:jc w:val="center"/>
        <w:rPr>
          <w:noProof/>
        </w:rPr>
      </w:pPr>
      <w:r>
        <w:rPr>
          <w:noProof/>
        </w:rPr>
        <w:t>Сведения о решении</w:t>
      </w:r>
    </w:p>
    <w:p w:rsidR="006A6B09" w:rsidRDefault="006A6B09" w:rsidP="006A6B09">
      <w:pPr>
        <w:ind w:left="426"/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3F1B0A" w:rsidRDefault="003F1B0A" w:rsidP="006A6B09">
      <w:pPr>
        <w:jc w:val="center"/>
        <w:rPr>
          <w:noProof/>
        </w:rPr>
      </w:pPr>
    </w:p>
    <w:p w:rsidR="00B42254" w:rsidRDefault="00B42254" w:rsidP="006A6B09">
      <w:pPr>
        <w:jc w:val="center"/>
        <w:rPr>
          <w:noProof/>
        </w:rPr>
      </w:pPr>
    </w:p>
    <w:p w:rsidR="00B42254" w:rsidRDefault="00B42254" w:rsidP="006A6B09">
      <w:pPr>
        <w:jc w:val="center"/>
        <w:rPr>
          <w:noProof/>
        </w:rPr>
      </w:pPr>
    </w:p>
    <w:tbl>
      <w:tblPr>
        <w:tblW w:w="1035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2128"/>
        <w:gridCol w:w="2831"/>
      </w:tblGrid>
      <w:tr w:rsidR="006A6B09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1D5745" w:rsidRPr="00B42254" w:rsidTr="00012E47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45" w:rsidRPr="00B42254" w:rsidRDefault="001D5745" w:rsidP="00715DCE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B42254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45" w:rsidRPr="00B42254" w:rsidRDefault="001D574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45" w:rsidRPr="00B42254" w:rsidRDefault="001D5745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B42254">
              <w:rPr>
                <w:noProof/>
              </w:rPr>
              <w:t>С.Д. Голин</w:t>
            </w:r>
          </w:p>
        </w:tc>
      </w:tr>
      <w:tr w:rsidR="001D5745" w:rsidRPr="00B42254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45" w:rsidRPr="00B42254" w:rsidRDefault="001D5745" w:rsidP="00715DCE">
            <w:pPr>
              <w:jc w:val="both"/>
              <w:rPr>
                <w:lang w:eastAsia="en-US"/>
              </w:rPr>
            </w:pPr>
            <w:r w:rsidRPr="00B42254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45" w:rsidRPr="00B42254" w:rsidRDefault="001D574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45" w:rsidRPr="00B42254" w:rsidRDefault="001D5745">
            <w:pPr>
              <w:spacing w:line="276" w:lineRule="auto"/>
              <w:jc w:val="center"/>
              <w:rPr>
                <w:rFonts w:eastAsia="Calibri"/>
              </w:rPr>
            </w:pPr>
            <w:r w:rsidRPr="00B42254">
              <w:rPr>
                <w:rFonts w:eastAsia="Calibri"/>
              </w:rPr>
              <w:t xml:space="preserve">В.А. </w:t>
            </w:r>
            <w:proofErr w:type="spellStart"/>
            <w:r w:rsidRPr="00B42254">
              <w:rPr>
                <w:rFonts w:eastAsia="Calibri"/>
              </w:rPr>
              <w:t>Климин</w:t>
            </w:r>
            <w:proofErr w:type="spellEnd"/>
          </w:p>
        </w:tc>
      </w:tr>
      <w:tr w:rsidR="001D5745" w:rsidRPr="00B42254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45" w:rsidRPr="00B42254" w:rsidRDefault="001D5745" w:rsidP="00715DCE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B42254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45" w:rsidRPr="00B42254" w:rsidRDefault="001D574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45" w:rsidRPr="00B42254" w:rsidRDefault="001D5745">
            <w:pPr>
              <w:spacing w:line="276" w:lineRule="auto"/>
              <w:jc w:val="center"/>
              <w:rPr>
                <w:rFonts w:eastAsia="Calibri"/>
              </w:rPr>
            </w:pPr>
            <w:r w:rsidRPr="00B42254">
              <w:rPr>
                <w:rFonts w:eastAsia="Calibri"/>
              </w:rPr>
              <w:t xml:space="preserve">Т.И. </w:t>
            </w:r>
            <w:proofErr w:type="spellStart"/>
            <w:r w:rsidRPr="00B42254">
              <w:rPr>
                <w:rFonts w:eastAsia="Calibri"/>
              </w:rPr>
              <w:t>Долгодворова</w:t>
            </w:r>
            <w:proofErr w:type="spellEnd"/>
          </w:p>
        </w:tc>
      </w:tr>
      <w:tr w:rsidR="001D5745" w:rsidRPr="00B42254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45" w:rsidRPr="00B42254" w:rsidRDefault="001D5745" w:rsidP="00715DCE">
            <w:pPr>
              <w:jc w:val="both"/>
              <w:rPr>
                <w:lang w:eastAsia="en-US"/>
              </w:rPr>
            </w:pPr>
            <w:r w:rsidRPr="00B42254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45" w:rsidRPr="00B42254" w:rsidRDefault="001D574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45" w:rsidRPr="00B42254" w:rsidRDefault="001D5745">
            <w:pPr>
              <w:spacing w:line="276" w:lineRule="auto"/>
              <w:jc w:val="center"/>
              <w:rPr>
                <w:rFonts w:eastAsia="Calibri"/>
              </w:rPr>
            </w:pPr>
            <w:r w:rsidRPr="00B42254">
              <w:rPr>
                <w:rFonts w:eastAsia="Calibri"/>
              </w:rPr>
              <w:t>Н.А. Морозова</w:t>
            </w:r>
          </w:p>
        </w:tc>
      </w:tr>
      <w:tr w:rsidR="00551618" w:rsidRPr="00B42254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18" w:rsidRPr="00B42254" w:rsidRDefault="00551618" w:rsidP="000F1E42">
            <w:pPr>
              <w:jc w:val="both"/>
              <w:rPr>
                <w:lang w:eastAsia="en-US"/>
              </w:rPr>
            </w:pPr>
            <w:r w:rsidRPr="00B42254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18" w:rsidRPr="00B42254" w:rsidRDefault="00551618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18" w:rsidRPr="00B42254" w:rsidRDefault="00551618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Ж.В. </w:t>
            </w:r>
            <w:proofErr w:type="spellStart"/>
            <w:r>
              <w:rPr>
                <w:rFonts w:eastAsia="Calibri"/>
              </w:rPr>
              <w:t>Резинкина</w:t>
            </w:r>
            <w:proofErr w:type="spellEnd"/>
          </w:p>
        </w:tc>
      </w:tr>
      <w:tr w:rsidR="00551618" w:rsidRPr="00B42254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18" w:rsidRPr="00B42254" w:rsidRDefault="00551618" w:rsidP="00715DCE">
            <w:r w:rsidRPr="00B42254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18" w:rsidRPr="00B42254" w:rsidRDefault="00551618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18" w:rsidRPr="00B42254" w:rsidRDefault="00551618">
            <w:pPr>
              <w:spacing w:line="276" w:lineRule="auto"/>
              <w:jc w:val="center"/>
            </w:pPr>
            <w:r w:rsidRPr="00B42254">
              <w:t>А.Т. Абдуллаев</w:t>
            </w:r>
          </w:p>
        </w:tc>
      </w:tr>
      <w:tr w:rsidR="00551618" w:rsidRPr="00B42254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8" w:rsidRPr="00B42254" w:rsidRDefault="00551618" w:rsidP="00715DCE">
            <w:r w:rsidRPr="00B42254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18" w:rsidRPr="00B42254" w:rsidRDefault="00551618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18" w:rsidRPr="00B42254" w:rsidRDefault="00551618">
            <w:pPr>
              <w:spacing w:line="276" w:lineRule="auto"/>
              <w:jc w:val="center"/>
            </w:pPr>
            <w:r w:rsidRPr="00B42254">
              <w:t>Н.Б. Захарова</w:t>
            </w:r>
          </w:p>
        </w:tc>
      </w:tr>
    </w:tbl>
    <w:p w:rsidR="006A6B09" w:rsidRPr="00B42254" w:rsidRDefault="006A6B09" w:rsidP="006A6B09">
      <w:pPr>
        <w:jc w:val="both"/>
        <w:rPr>
          <w:b/>
        </w:rPr>
      </w:pPr>
    </w:p>
    <w:p w:rsidR="006A6B09" w:rsidRPr="00B42254" w:rsidRDefault="006A6B09" w:rsidP="006A6B09">
      <w:pPr>
        <w:rPr>
          <w:b/>
        </w:rPr>
      </w:pPr>
    </w:p>
    <w:p w:rsidR="00551618" w:rsidRPr="00E93FCE" w:rsidRDefault="00551618" w:rsidP="00551618">
      <w:pPr>
        <w:ind w:left="426"/>
        <w:jc w:val="both"/>
        <w:rPr>
          <w:b/>
        </w:rPr>
      </w:pPr>
      <w:r w:rsidRPr="00E93FCE">
        <w:rPr>
          <w:b/>
        </w:rPr>
        <w:t xml:space="preserve">Председатель комиссии:                                                                                С.Д. </w:t>
      </w:r>
      <w:proofErr w:type="spellStart"/>
      <w:r w:rsidRPr="00E93FCE">
        <w:rPr>
          <w:b/>
        </w:rPr>
        <w:t>Голин</w:t>
      </w:r>
      <w:proofErr w:type="spellEnd"/>
      <w:r w:rsidRPr="00E93FCE">
        <w:rPr>
          <w:b/>
        </w:rPr>
        <w:t xml:space="preserve">     </w:t>
      </w:r>
    </w:p>
    <w:p w:rsidR="00551618" w:rsidRPr="00E93FCE" w:rsidRDefault="00551618" w:rsidP="00551618">
      <w:pPr>
        <w:ind w:left="426"/>
        <w:jc w:val="both"/>
        <w:rPr>
          <w:b/>
        </w:rPr>
      </w:pPr>
    </w:p>
    <w:p w:rsidR="00551618" w:rsidRPr="00E93FCE" w:rsidRDefault="00551618" w:rsidP="00551618">
      <w:pPr>
        <w:ind w:left="426"/>
        <w:rPr>
          <w:b/>
        </w:rPr>
      </w:pPr>
      <w:r w:rsidRPr="00E93FCE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551618" w:rsidRPr="00E93FCE" w:rsidRDefault="00551618" w:rsidP="00551618">
      <w:pPr>
        <w:ind w:left="426"/>
        <w:jc w:val="right"/>
      </w:pPr>
      <w:r w:rsidRPr="00E93FCE">
        <w:t xml:space="preserve">___________________В.А. </w:t>
      </w:r>
      <w:proofErr w:type="spellStart"/>
      <w:r w:rsidRPr="00E93FCE">
        <w:t>Климин</w:t>
      </w:r>
      <w:proofErr w:type="spellEnd"/>
    </w:p>
    <w:p w:rsidR="00551618" w:rsidRPr="00E93FCE" w:rsidRDefault="00551618" w:rsidP="00551618">
      <w:pPr>
        <w:ind w:left="426"/>
        <w:jc w:val="right"/>
      </w:pPr>
      <w:r w:rsidRPr="00E93FCE">
        <w:t>__________________Н.А. Морозова</w:t>
      </w:r>
    </w:p>
    <w:p w:rsidR="00551618" w:rsidRPr="00E93FCE" w:rsidRDefault="00551618" w:rsidP="00551618">
      <w:pPr>
        <w:ind w:left="426"/>
        <w:jc w:val="right"/>
      </w:pPr>
      <w:r w:rsidRPr="00E93FCE">
        <w:t xml:space="preserve">_______________Т.И. </w:t>
      </w:r>
      <w:proofErr w:type="spellStart"/>
      <w:r w:rsidRPr="00E93FCE">
        <w:t>Долгодворова</w:t>
      </w:r>
      <w:proofErr w:type="spellEnd"/>
    </w:p>
    <w:p w:rsidR="00551618" w:rsidRPr="00E93FCE" w:rsidRDefault="00551618" w:rsidP="00551618">
      <w:pPr>
        <w:ind w:left="426"/>
        <w:jc w:val="right"/>
      </w:pPr>
      <w:r w:rsidRPr="00E93FCE">
        <w:t>_________________Ж.В.</w:t>
      </w:r>
      <w:r>
        <w:t xml:space="preserve"> </w:t>
      </w:r>
      <w:proofErr w:type="spellStart"/>
      <w:r w:rsidRPr="00E93FCE">
        <w:t>Резинкина</w:t>
      </w:r>
      <w:proofErr w:type="spellEnd"/>
    </w:p>
    <w:p w:rsidR="00551618" w:rsidRPr="00E93FCE" w:rsidRDefault="00551618" w:rsidP="00551618">
      <w:pPr>
        <w:ind w:left="426"/>
        <w:jc w:val="right"/>
      </w:pPr>
      <w:r w:rsidRPr="00E93FCE">
        <w:t>______________А.Т. Абдуллаев</w:t>
      </w:r>
    </w:p>
    <w:p w:rsidR="00551618" w:rsidRPr="00E93FCE" w:rsidRDefault="00551618" w:rsidP="00551618">
      <w:pPr>
        <w:ind w:left="426"/>
        <w:jc w:val="right"/>
      </w:pPr>
      <w:r w:rsidRPr="00E93FCE">
        <w:tab/>
        <w:t>__________________</w:t>
      </w:r>
      <w:proofErr w:type="spellStart"/>
      <w:r w:rsidRPr="00E93FCE">
        <w:t>Н.Б.Захарова</w:t>
      </w:r>
      <w:proofErr w:type="spellEnd"/>
    </w:p>
    <w:p w:rsidR="00551618" w:rsidRPr="00E93FCE" w:rsidRDefault="00551618" w:rsidP="00551618">
      <w:pPr>
        <w:ind w:left="426"/>
      </w:pPr>
    </w:p>
    <w:p w:rsidR="006A6B09" w:rsidRDefault="006A6B09" w:rsidP="006A6B09">
      <w:pPr>
        <w:ind w:left="426"/>
      </w:pPr>
      <w:r w:rsidRPr="00B42254">
        <w:t xml:space="preserve">Представитель заказчика:                                                          </w:t>
      </w:r>
      <w:r w:rsidR="005C7173" w:rsidRPr="00B42254">
        <w:t xml:space="preserve"> </w:t>
      </w:r>
      <w:r w:rsidRPr="00B42254">
        <w:t xml:space="preserve"> </w:t>
      </w:r>
      <w:r w:rsidR="005C7173" w:rsidRPr="00B42254">
        <w:t xml:space="preserve">     </w:t>
      </w:r>
      <w:r w:rsidRPr="00B42254">
        <w:t xml:space="preserve">   ______________</w:t>
      </w:r>
      <w:proofErr w:type="spellStart"/>
      <w:r w:rsidR="00433EB0">
        <w:t>М.Л.Прошкина</w:t>
      </w:r>
      <w:proofErr w:type="spellEnd"/>
    </w:p>
    <w:p w:rsidR="001C18BE" w:rsidRDefault="001C18BE" w:rsidP="006A6B09">
      <w:pPr>
        <w:ind w:left="426"/>
      </w:pPr>
    </w:p>
    <w:p w:rsidR="001C18BE" w:rsidRDefault="001C18BE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551618" w:rsidRDefault="00551618" w:rsidP="006A6B09">
      <w:pPr>
        <w:ind w:left="426"/>
      </w:pPr>
    </w:p>
    <w:p w:rsidR="00551618" w:rsidRDefault="00551618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507DE6" w:rsidRDefault="00507DE6" w:rsidP="006A6B09">
      <w:pPr>
        <w:ind w:left="426"/>
      </w:pPr>
    </w:p>
    <w:p w:rsidR="00507DE6" w:rsidRDefault="00507DE6" w:rsidP="006A6B09">
      <w:pPr>
        <w:ind w:left="426"/>
      </w:pPr>
    </w:p>
    <w:p w:rsidR="00507DE6" w:rsidRPr="00F23435" w:rsidRDefault="00507DE6" w:rsidP="00507DE6">
      <w:pPr>
        <w:ind w:right="167"/>
        <w:jc w:val="right"/>
        <w:rPr>
          <w:sz w:val="18"/>
          <w:szCs w:val="18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Приложение </w:t>
      </w:r>
    </w:p>
    <w:p w:rsidR="00507DE6" w:rsidRPr="00F23435" w:rsidRDefault="00507DE6" w:rsidP="00507DE6">
      <w:pPr>
        <w:tabs>
          <w:tab w:val="left" w:pos="3930"/>
          <w:tab w:val="right" w:pos="9355"/>
        </w:tabs>
        <w:ind w:right="167"/>
        <w:jc w:val="right"/>
        <w:rPr>
          <w:sz w:val="18"/>
          <w:szCs w:val="18"/>
        </w:rPr>
      </w:pPr>
      <w:r w:rsidRPr="00F23435">
        <w:rPr>
          <w:sz w:val="18"/>
          <w:szCs w:val="18"/>
        </w:rPr>
        <w:t xml:space="preserve">                                                                                                                                               к протоколу рассмотрения заявок</w:t>
      </w:r>
    </w:p>
    <w:p w:rsidR="00507DE6" w:rsidRPr="00F23435" w:rsidRDefault="00507DE6" w:rsidP="00507DE6">
      <w:pPr>
        <w:tabs>
          <w:tab w:val="left" w:pos="3930"/>
        </w:tabs>
        <w:ind w:right="167"/>
        <w:jc w:val="right"/>
        <w:rPr>
          <w:sz w:val="18"/>
          <w:szCs w:val="18"/>
        </w:rPr>
      </w:pPr>
      <w:r w:rsidRPr="00F23435">
        <w:rPr>
          <w:sz w:val="18"/>
          <w:szCs w:val="18"/>
        </w:rPr>
        <w:t xml:space="preserve">                                                                                                                                       на участие в аукционе в электронной форме</w:t>
      </w:r>
    </w:p>
    <w:p w:rsidR="00507DE6" w:rsidRPr="00F23435" w:rsidRDefault="00507DE6" w:rsidP="00507DE6">
      <w:pPr>
        <w:tabs>
          <w:tab w:val="left" w:pos="3930"/>
          <w:tab w:val="right" w:pos="9355"/>
        </w:tabs>
        <w:ind w:right="167"/>
        <w:jc w:val="right"/>
        <w:rPr>
          <w:sz w:val="18"/>
          <w:szCs w:val="18"/>
        </w:rPr>
      </w:pPr>
      <w:r w:rsidRPr="00F23435">
        <w:rPr>
          <w:sz w:val="18"/>
          <w:szCs w:val="18"/>
        </w:rPr>
        <w:t xml:space="preserve">         от «</w:t>
      </w:r>
      <w:r>
        <w:rPr>
          <w:sz w:val="18"/>
          <w:szCs w:val="18"/>
        </w:rPr>
        <w:t>22</w:t>
      </w:r>
      <w:r w:rsidRPr="00F23435">
        <w:rPr>
          <w:sz w:val="18"/>
          <w:szCs w:val="18"/>
        </w:rPr>
        <w:t xml:space="preserve">»  </w:t>
      </w:r>
      <w:r>
        <w:rPr>
          <w:sz w:val="18"/>
          <w:szCs w:val="18"/>
        </w:rPr>
        <w:t>марта</w:t>
      </w:r>
      <w:r w:rsidRPr="00F23435">
        <w:rPr>
          <w:sz w:val="18"/>
          <w:szCs w:val="18"/>
        </w:rPr>
        <w:t xml:space="preserve">  201</w:t>
      </w:r>
      <w:r>
        <w:rPr>
          <w:sz w:val="18"/>
          <w:szCs w:val="18"/>
        </w:rPr>
        <w:t>8</w:t>
      </w:r>
      <w:r w:rsidRPr="00F23435">
        <w:rPr>
          <w:sz w:val="18"/>
          <w:szCs w:val="18"/>
        </w:rPr>
        <w:t xml:space="preserve"> г. № 018730000581</w:t>
      </w:r>
      <w:r>
        <w:rPr>
          <w:sz w:val="18"/>
          <w:szCs w:val="18"/>
        </w:rPr>
        <w:t>8</w:t>
      </w:r>
      <w:r w:rsidRPr="00F23435">
        <w:rPr>
          <w:sz w:val="18"/>
          <w:szCs w:val="18"/>
        </w:rPr>
        <w:t>000</w:t>
      </w:r>
      <w:r>
        <w:rPr>
          <w:sz w:val="18"/>
          <w:szCs w:val="18"/>
        </w:rPr>
        <w:t>088</w:t>
      </w:r>
      <w:r w:rsidRPr="00F23435">
        <w:rPr>
          <w:sz w:val="18"/>
          <w:szCs w:val="18"/>
        </w:rPr>
        <w:t>-1</w:t>
      </w:r>
    </w:p>
    <w:p w:rsidR="00507DE6" w:rsidRPr="00F23435" w:rsidRDefault="00507DE6" w:rsidP="00507DE6">
      <w:pPr>
        <w:jc w:val="center"/>
        <w:rPr>
          <w:color w:val="000000"/>
          <w:sz w:val="18"/>
          <w:szCs w:val="18"/>
        </w:rPr>
      </w:pPr>
      <w:r w:rsidRPr="00F23435">
        <w:rPr>
          <w:color w:val="000000"/>
          <w:sz w:val="18"/>
          <w:szCs w:val="18"/>
        </w:rPr>
        <w:t>Таблица рассмотрения заявок</w:t>
      </w:r>
    </w:p>
    <w:p w:rsidR="00507DE6" w:rsidRPr="00F23435" w:rsidRDefault="00507DE6" w:rsidP="00507DE6">
      <w:pPr>
        <w:snapToGrid w:val="0"/>
        <w:jc w:val="center"/>
        <w:rPr>
          <w:sz w:val="18"/>
          <w:szCs w:val="18"/>
        </w:rPr>
      </w:pPr>
      <w:r w:rsidRPr="00F23435">
        <w:rPr>
          <w:color w:val="000000"/>
          <w:sz w:val="18"/>
          <w:szCs w:val="18"/>
        </w:rPr>
        <w:t>на участие в аукционе в электронной форме</w:t>
      </w:r>
      <w:r w:rsidRPr="00F23435">
        <w:rPr>
          <w:bCs/>
          <w:sz w:val="18"/>
          <w:szCs w:val="18"/>
        </w:rPr>
        <w:t xml:space="preserve"> </w:t>
      </w:r>
      <w:r w:rsidRPr="00F23435">
        <w:rPr>
          <w:sz w:val="18"/>
          <w:szCs w:val="18"/>
        </w:rPr>
        <w:t xml:space="preserve">на право заключения муниципального контракта </w:t>
      </w:r>
    </w:p>
    <w:p w:rsidR="00507DE6" w:rsidRPr="00F23435" w:rsidRDefault="00507DE6" w:rsidP="00507DE6">
      <w:pPr>
        <w:snapToGrid w:val="0"/>
        <w:jc w:val="center"/>
        <w:rPr>
          <w:sz w:val="18"/>
          <w:szCs w:val="18"/>
        </w:rPr>
      </w:pPr>
      <w:r w:rsidRPr="00F23435">
        <w:rPr>
          <w:sz w:val="18"/>
          <w:szCs w:val="18"/>
        </w:rPr>
        <w:t xml:space="preserve">на поставку </w:t>
      </w:r>
      <w:r>
        <w:rPr>
          <w:sz w:val="18"/>
          <w:szCs w:val="18"/>
        </w:rPr>
        <w:t>жилых помещений</w:t>
      </w:r>
    </w:p>
    <w:p w:rsidR="00507DE6" w:rsidRPr="00F23435" w:rsidRDefault="00507DE6" w:rsidP="00507DE6">
      <w:pPr>
        <w:snapToGrid w:val="0"/>
        <w:jc w:val="center"/>
        <w:rPr>
          <w:color w:val="000000"/>
          <w:sz w:val="18"/>
          <w:szCs w:val="18"/>
        </w:rPr>
      </w:pPr>
    </w:p>
    <w:p w:rsidR="00507DE6" w:rsidRDefault="00507DE6" w:rsidP="00507DE6">
      <w:pPr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  </w:t>
      </w:r>
      <w:r w:rsidRPr="00F23435">
        <w:rPr>
          <w:color w:val="000000"/>
          <w:sz w:val="18"/>
          <w:szCs w:val="18"/>
        </w:rPr>
        <w:t xml:space="preserve">Заказчик: </w:t>
      </w:r>
      <w:r w:rsidRPr="00F23435">
        <w:rPr>
          <w:sz w:val="18"/>
          <w:szCs w:val="18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Pr="00F23435">
        <w:rPr>
          <w:sz w:val="18"/>
          <w:szCs w:val="18"/>
        </w:rPr>
        <w:t>Югорска</w:t>
      </w:r>
      <w:proofErr w:type="spellEnd"/>
      <w:r w:rsidRPr="00F23435">
        <w:rPr>
          <w:sz w:val="18"/>
          <w:szCs w:val="18"/>
        </w:rPr>
        <w:t>.</w:t>
      </w:r>
    </w:p>
    <w:p w:rsidR="00507DE6" w:rsidRPr="00F23435" w:rsidRDefault="00507DE6" w:rsidP="00507DE6">
      <w:pPr>
        <w:rPr>
          <w:sz w:val="18"/>
          <w:szCs w:val="18"/>
        </w:rPr>
      </w:pPr>
    </w:p>
    <w:tbl>
      <w:tblPr>
        <w:tblW w:w="1091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8"/>
        <w:gridCol w:w="3260"/>
        <w:gridCol w:w="1701"/>
        <w:gridCol w:w="1701"/>
        <w:gridCol w:w="1843"/>
      </w:tblGrid>
      <w:tr w:rsidR="00507DE6" w:rsidRPr="00CC60A8" w:rsidTr="00507DE6">
        <w:trPr>
          <w:trHeight w:val="20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E6" w:rsidRPr="00CC60A8" w:rsidRDefault="00507DE6" w:rsidP="000D0AB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C60A8"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E6" w:rsidRPr="00CC60A8" w:rsidRDefault="00507DE6" w:rsidP="000D0AB1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C60A8">
              <w:rPr>
                <w:color w:val="000000"/>
                <w:sz w:val="18"/>
                <w:szCs w:val="18"/>
              </w:rPr>
              <w:t>№ пункта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E6" w:rsidRPr="00CC60A8" w:rsidRDefault="00507DE6" w:rsidP="000D0AB1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Показатель/</w:t>
            </w:r>
            <w:r w:rsidRPr="00CC60A8">
              <w:rPr>
                <w:color w:val="000000"/>
                <w:sz w:val="18"/>
                <w:szCs w:val="18"/>
              </w:rPr>
              <w:t xml:space="preserve">Характеристика </w:t>
            </w:r>
            <w:r>
              <w:rPr>
                <w:color w:val="000000"/>
                <w:sz w:val="18"/>
                <w:szCs w:val="18"/>
              </w:rPr>
              <w:t>жилого помещения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E6" w:rsidRPr="00CC60A8" w:rsidRDefault="00507DE6" w:rsidP="000D0AB1">
            <w:pPr>
              <w:jc w:val="center"/>
              <w:rPr>
                <w:rFonts w:eastAsia="Calibri"/>
                <w:sz w:val="18"/>
                <w:szCs w:val="18"/>
              </w:rPr>
            </w:pPr>
            <w:r w:rsidRPr="00CC60A8">
              <w:rPr>
                <w:rFonts w:eastAsia="Calibri"/>
                <w:sz w:val="18"/>
                <w:szCs w:val="18"/>
              </w:rPr>
              <w:t>Номер заявки</w:t>
            </w:r>
          </w:p>
        </w:tc>
      </w:tr>
      <w:tr w:rsidR="00507DE6" w:rsidRPr="00CC60A8" w:rsidTr="00507DE6">
        <w:trPr>
          <w:trHeight w:val="10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E6" w:rsidRPr="00CC60A8" w:rsidRDefault="00507DE6" w:rsidP="000D0A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E6" w:rsidRPr="00CC60A8" w:rsidRDefault="00507DE6" w:rsidP="000D0A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E6" w:rsidRPr="00CC60A8" w:rsidRDefault="00507DE6" w:rsidP="000D0A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07DE6" w:rsidRPr="00251183" w:rsidRDefault="00507DE6" w:rsidP="000D0AB1">
            <w:pPr>
              <w:suppressAutoHyphens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№2</w:t>
            </w:r>
          </w:p>
        </w:tc>
        <w:tc>
          <w:tcPr>
            <w:tcW w:w="1701" w:type="dxa"/>
          </w:tcPr>
          <w:p w:rsidR="00507DE6" w:rsidRPr="00251183" w:rsidRDefault="00507DE6" w:rsidP="000D0AB1">
            <w:pPr>
              <w:suppressAutoHyphens w:val="0"/>
              <w:jc w:val="center"/>
              <w:rPr>
                <w:rFonts w:eastAsia="Calibri"/>
                <w:sz w:val="18"/>
                <w:szCs w:val="18"/>
              </w:rPr>
            </w:pPr>
            <w:r w:rsidRPr="00251183">
              <w:rPr>
                <w:sz w:val="18"/>
                <w:szCs w:val="18"/>
              </w:rPr>
              <w:t>Заявка №</w:t>
            </w:r>
            <w:r>
              <w:rPr>
                <w:sz w:val="18"/>
                <w:szCs w:val="18"/>
              </w:rPr>
              <w:t xml:space="preserve"> 3</w:t>
            </w:r>
          </w:p>
        </w:tc>
        <w:tc>
          <w:tcPr>
            <w:tcW w:w="1843" w:type="dxa"/>
          </w:tcPr>
          <w:p w:rsidR="00507DE6" w:rsidRPr="00251183" w:rsidRDefault="00507DE6" w:rsidP="000D0AB1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 4</w:t>
            </w:r>
          </w:p>
        </w:tc>
      </w:tr>
      <w:tr w:rsidR="00507DE6" w:rsidRPr="00CC60A8" w:rsidTr="00507DE6">
        <w:trPr>
          <w:trHeight w:val="98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7DE6" w:rsidRPr="00CC60A8" w:rsidRDefault="00507DE6" w:rsidP="000D0AB1">
            <w:pPr>
              <w:snapToGrid w:val="0"/>
              <w:jc w:val="both"/>
              <w:rPr>
                <w:sz w:val="18"/>
                <w:szCs w:val="18"/>
              </w:rPr>
            </w:pPr>
            <w:proofErr w:type="gramStart"/>
            <w:r w:rsidRPr="00CC60A8">
              <w:rPr>
                <w:sz w:val="18"/>
                <w:szCs w:val="18"/>
              </w:rPr>
              <w:t xml:space="preserve">Первая часть заявки на участие в электронном аукционе должна содержать следующие сведения: ) согласие участника аукциона на выполнение работы или оказание услуги на условиях, предусмотренных документацией об аукционе, а также конкретные показатели используемого товара, соответствующие значениям, установленным в части </w:t>
            </w:r>
            <w:r w:rsidRPr="00CC60A8">
              <w:rPr>
                <w:sz w:val="18"/>
                <w:szCs w:val="18"/>
                <w:lang w:val="en-US"/>
              </w:rPr>
              <w:t>II</w:t>
            </w:r>
            <w:r w:rsidRPr="00CC60A8">
              <w:rPr>
                <w:sz w:val="18"/>
                <w:szCs w:val="18"/>
              </w:rPr>
              <w:t xml:space="preserve"> «Техническое задание» документации об аукционе, и указание на товарный знак (его словесное обозначение) (при наличии), знак обслуживания (при наличии), фирменное наименование</w:t>
            </w:r>
            <w:proofErr w:type="gramEnd"/>
            <w:r w:rsidRPr="00CC60A8">
              <w:rPr>
                <w:sz w:val="18"/>
                <w:szCs w:val="18"/>
              </w:rPr>
              <w:t xml:space="preserve"> (при наличии), патенты (при наличии), полезные модели (при наличии), промышленные образцы (при наличии), наименование страны происхождения товара</w:t>
            </w:r>
          </w:p>
          <w:p w:rsidR="00507DE6" w:rsidRPr="00CC60A8" w:rsidRDefault="00507DE6" w:rsidP="000D0AB1">
            <w:pPr>
              <w:snapToGrid w:val="0"/>
              <w:jc w:val="both"/>
              <w:rPr>
                <w:sz w:val="18"/>
                <w:szCs w:val="18"/>
              </w:rPr>
            </w:pPr>
          </w:p>
          <w:p w:rsidR="00507DE6" w:rsidRPr="00CC60A8" w:rsidRDefault="00507DE6" w:rsidP="000D0A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7DE6" w:rsidRPr="00CC60A8" w:rsidRDefault="00507DE6" w:rsidP="000D0AB1">
            <w:pPr>
              <w:jc w:val="center"/>
              <w:rPr>
                <w:sz w:val="18"/>
                <w:szCs w:val="18"/>
              </w:rPr>
            </w:pPr>
            <w:r w:rsidRPr="00CC60A8">
              <w:rPr>
                <w:sz w:val="18"/>
                <w:szCs w:val="18"/>
              </w:rPr>
              <w:t>1</w:t>
            </w:r>
          </w:p>
          <w:p w:rsidR="00507DE6" w:rsidRPr="00CC60A8" w:rsidRDefault="00507DE6" w:rsidP="000D0AB1">
            <w:pPr>
              <w:jc w:val="center"/>
              <w:rPr>
                <w:sz w:val="18"/>
                <w:szCs w:val="18"/>
              </w:rPr>
            </w:pPr>
          </w:p>
          <w:p w:rsidR="00507DE6" w:rsidRPr="00CC60A8" w:rsidRDefault="00507DE6" w:rsidP="000D0AB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E6" w:rsidRPr="00251183" w:rsidRDefault="00507DE6" w:rsidP="000D0AB1">
            <w:pPr>
              <w:tabs>
                <w:tab w:val="num" w:pos="289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3DAE">
              <w:rPr>
                <w:b/>
                <w:sz w:val="18"/>
                <w:szCs w:val="18"/>
              </w:rPr>
              <w:t>Адрес:</w:t>
            </w:r>
            <w:r>
              <w:t xml:space="preserve"> </w:t>
            </w:r>
            <w:r w:rsidRPr="00251183">
              <w:rPr>
                <w:sz w:val="18"/>
                <w:szCs w:val="18"/>
              </w:rPr>
              <w:t xml:space="preserve">город </w:t>
            </w:r>
            <w:proofErr w:type="spellStart"/>
            <w:r w:rsidRPr="00251183">
              <w:rPr>
                <w:sz w:val="18"/>
                <w:szCs w:val="18"/>
              </w:rPr>
              <w:t>Югорск</w:t>
            </w:r>
            <w:proofErr w:type="spellEnd"/>
            <w:r w:rsidRPr="00251183">
              <w:rPr>
                <w:sz w:val="18"/>
                <w:szCs w:val="18"/>
              </w:rPr>
              <w:t>, Ханты-Мансийский автономный округ – Югра, Тюменская область, 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7DE6" w:rsidRPr="00931759" w:rsidRDefault="00507DE6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507DE6" w:rsidRPr="00931759" w:rsidRDefault="00507DE6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  <w:lang w:val="x-none"/>
              </w:rPr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</w:tc>
        <w:tc>
          <w:tcPr>
            <w:tcW w:w="1701" w:type="dxa"/>
            <w:vAlign w:val="center"/>
          </w:tcPr>
          <w:p w:rsidR="00507DE6" w:rsidRDefault="00507DE6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не </w:t>
            </w:r>
            <w:r w:rsidRPr="00931759">
              <w:rPr>
                <w:rFonts w:eastAsia="Calibri"/>
                <w:color w:val="000000"/>
                <w:sz w:val="18"/>
                <w:szCs w:val="18"/>
              </w:rPr>
              <w:t xml:space="preserve">соответствует </w:t>
            </w:r>
          </w:p>
          <w:p w:rsidR="00507DE6" w:rsidRPr="00931759" w:rsidRDefault="00507DE6" w:rsidP="00507DE6">
            <w:pPr>
              <w:suppressAutoHyphens w:val="0"/>
              <w:jc w:val="center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(н</w:t>
            </w:r>
            <w:r w:rsidRPr="00931759">
              <w:rPr>
                <w:rFonts w:eastAsia="Calibri"/>
                <w:color w:val="000000"/>
                <w:sz w:val="18"/>
                <w:szCs w:val="18"/>
              </w:rPr>
              <w:t>е указан конкретный адрес</w:t>
            </w:r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507DE6" w:rsidRPr="00931759" w:rsidRDefault="00507DE6" w:rsidP="00507DE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507DE6" w:rsidRPr="00931759" w:rsidRDefault="00507DE6" w:rsidP="00507DE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507DE6" w:rsidRPr="00931759" w:rsidRDefault="00507DE6" w:rsidP="00507DE6">
            <w:pPr>
              <w:jc w:val="center"/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</w:tc>
      </w:tr>
      <w:tr w:rsidR="00507DE6" w:rsidRPr="00CC60A8" w:rsidTr="00507DE6">
        <w:trPr>
          <w:trHeight w:val="101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DE6" w:rsidRPr="00CC60A8" w:rsidRDefault="00507DE6" w:rsidP="000D0AB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DE6" w:rsidRPr="00CC60A8" w:rsidRDefault="00507DE6" w:rsidP="000D0AB1">
            <w:pPr>
              <w:jc w:val="center"/>
              <w:rPr>
                <w:sz w:val="18"/>
                <w:szCs w:val="18"/>
              </w:rPr>
            </w:pPr>
            <w:r w:rsidRPr="00CC60A8">
              <w:rPr>
                <w:sz w:val="18"/>
                <w:szCs w:val="18"/>
              </w:rPr>
              <w:t>2</w:t>
            </w:r>
          </w:p>
          <w:p w:rsidR="00507DE6" w:rsidRPr="00CC60A8" w:rsidRDefault="00507DE6" w:rsidP="000D0AB1">
            <w:pPr>
              <w:rPr>
                <w:sz w:val="18"/>
                <w:szCs w:val="18"/>
              </w:rPr>
            </w:pPr>
          </w:p>
          <w:p w:rsidR="00507DE6" w:rsidRPr="00CC60A8" w:rsidRDefault="00507DE6" w:rsidP="000D0AB1">
            <w:pPr>
              <w:rPr>
                <w:sz w:val="18"/>
                <w:szCs w:val="18"/>
              </w:rPr>
            </w:pPr>
          </w:p>
          <w:p w:rsidR="00507DE6" w:rsidRPr="00CC60A8" w:rsidRDefault="00507DE6" w:rsidP="000D0AB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E6" w:rsidRPr="00633DAE" w:rsidRDefault="00507DE6" w:rsidP="000D0AB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3DAE">
              <w:rPr>
                <w:b/>
                <w:sz w:val="18"/>
                <w:szCs w:val="18"/>
              </w:rPr>
              <w:t>Иное описание (местоположение):</w:t>
            </w:r>
            <w:r w:rsidRPr="00633DAE">
              <w:rPr>
                <w:sz w:val="18"/>
                <w:szCs w:val="18"/>
              </w:rPr>
              <w:t xml:space="preserve"> в многоквартирном жилом доме в городе </w:t>
            </w:r>
            <w:proofErr w:type="spellStart"/>
            <w:r w:rsidRPr="00633DAE">
              <w:rPr>
                <w:sz w:val="18"/>
                <w:szCs w:val="18"/>
              </w:rPr>
              <w:t>Югорске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507DE6" w:rsidRPr="00931759" w:rsidRDefault="00507DE6" w:rsidP="000D0AB1">
            <w:pPr>
              <w:suppressAutoHyphens w:val="0"/>
              <w:rPr>
                <w:rFonts w:eastAsia="Calibri"/>
                <w:color w:val="000000"/>
                <w:sz w:val="18"/>
                <w:szCs w:val="18"/>
              </w:rPr>
            </w:pPr>
          </w:p>
          <w:p w:rsidR="00507DE6" w:rsidRPr="00931759" w:rsidRDefault="00507DE6" w:rsidP="000D0AB1">
            <w:pPr>
              <w:suppressAutoHyphens w:val="0"/>
              <w:jc w:val="center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</w:tc>
        <w:tc>
          <w:tcPr>
            <w:tcW w:w="1701" w:type="dxa"/>
            <w:vAlign w:val="center"/>
          </w:tcPr>
          <w:p w:rsidR="00507DE6" w:rsidRPr="00931759" w:rsidRDefault="00507DE6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507DE6" w:rsidRPr="00931759" w:rsidRDefault="00507DE6" w:rsidP="000D0AB1">
            <w:pPr>
              <w:suppressAutoHyphens w:val="0"/>
              <w:jc w:val="center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</w:tc>
        <w:tc>
          <w:tcPr>
            <w:tcW w:w="1843" w:type="dxa"/>
          </w:tcPr>
          <w:p w:rsidR="00507DE6" w:rsidRPr="00931759" w:rsidRDefault="00507DE6" w:rsidP="00507DE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507DE6" w:rsidRPr="00931759" w:rsidRDefault="00507DE6" w:rsidP="00507DE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507DE6" w:rsidRPr="00931759" w:rsidRDefault="00507DE6" w:rsidP="00507DE6">
            <w:pPr>
              <w:jc w:val="center"/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</w:tc>
      </w:tr>
      <w:tr w:rsidR="00507DE6" w:rsidRPr="00CC60A8" w:rsidTr="00507DE6">
        <w:trPr>
          <w:trHeight w:val="81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DE6" w:rsidRPr="00CC60A8" w:rsidRDefault="00507DE6" w:rsidP="000D0AB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DE6" w:rsidRPr="00CC60A8" w:rsidRDefault="00507DE6" w:rsidP="000D0AB1">
            <w:pPr>
              <w:jc w:val="center"/>
              <w:rPr>
                <w:sz w:val="18"/>
                <w:szCs w:val="18"/>
              </w:rPr>
            </w:pPr>
            <w:r w:rsidRPr="00CC60A8">
              <w:rPr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E6" w:rsidRPr="00633DAE" w:rsidRDefault="00507DE6" w:rsidP="000D0AB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3DAE">
              <w:rPr>
                <w:b/>
                <w:sz w:val="18"/>
                <w:szCs w:val="18"/>
              </w:rPr>
              <w:t>Исполнение дома</w:t>
            </w:r>
            <w:r>
              <w:rPr>
                <w:b/>
                <w:sz w:val="18"/>
                <w:szCs w:val="18"/>
              </w:rPr>
              <w:t>:</w:t>
            </w:r>
            <w:r w:rsidRPr="00633DAE">
              <w:rPr>
                <w:sz w:val="18"/>
                <w:szCs w:val="18"/>
              </w:rPr>
              <w:t xml:space="preserve"> </w:t>
            </w:r>
            <w:r w:rsidRPr="003416F8">
              <w:rPr>
                <w:sz w:val="18"/>
                <w:szCs w:val="18"/>
              </w:rPr>
              <w:t>Капитальное (кирпичное, блочное (все виды), каменное, монолитное и др.)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7DE6" w:rsidRPr="00931759" w:rsidRDefault="00507DE6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  <w:p w:rsidR="00507DE6" w:rsidRPr="00931759" w:rsidRDefault="00507DE6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07DE6" w:rsidRPr="00931759" w:rsidRDefault="00507DE6" w:rsidP="000D0AB1">
            <w:pPr>
              <w:suppressAutoHyphens w:val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931759">
              <w:rPr>
                <w:bCs/>
                <w:sz w:val="18"/>
                <w:szCs w:val="18"/>
              </w:rPr>
              <w:t>соответствует</w:t>
            </w:r>
          </w:p>
        </w:tc>
        <w:tc>
          <w:tcPr>
            <w:tcW w:w="1843" w:type="dxa"/>
          </w:tcPr>
          <w:p w:rsidR="00507DE6" w:rsidRPr="00931759" w:rsidRDefault="00507DE6" w:rsidP="00507DE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507DE6" w:rsidRPr="00931759" w:rsidRDefault="00507DE6" w:rsidP="00507DE6">
            <w:pPr>
              <w:jc w:val="center"/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</w:tc>
      </w:tr>
      <w:tr w:rsidR="00507DE6" w:rsidRPr="00CC60A8" w:rsidTr="00507DE6">
        <w:trPr>
          <w:trHeight w:val="148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DE6" w:rsidRPr="00CC60A8" w:rsidRDefault="00507DE6" w:rsidP="000D0AB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DE6" w:rsidRPr="00CC60A8" w:rsidRDefault="00507DE6" w:rsidP="000D0A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E6" w:rsidRDefault="00507DE6" w:rsidP="000D0AB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Техническая х</w:t>
            </w:r>
            <w:r w:rsidRPr="00F23435">
              <w:rPr>
                <w:b/>
                <w:sz w:val="18"/>
                <w:szCs w:val="18"/>
              </w:rPr>
              <w:t xml:space="preserve">арактеристика </w:t>
            </w:r>
            <w:r>
              <w:rPr>
                <w:b/>
                <w:sz w:val="18"/>
                <w:szCs w:val="18"/>
              </w:rPr>
              <w:t xml:space="preserve">жилого помещения: </w:t>
            </w:r>
          </w:p>
          <w:p w:rsidR="00507DE6" w:rsidRPr="00971F6F" w:rsidRDefault="00507DE6" w:rsidP="000D0AB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color w:val="000000"/>
                <w:sz w:val="16"/>
                <w:szCs w:val="16"/>
              </w:rPr>
            </w:pPr>
            <w:r w:rsidRPr="00971F6F">
              <w:rPr>
                <w:color w:val="000000"/>
                <w:sz w:val="16"/>
                <w:szCs w:val="16"/>
              </w:rPr>
              <w:t xml:space="preserve">Наличие: </w:t>
            </w:r>
          </w:p>
          <w:p w:rsidR="00507DE6" w:rsidRPr="00971F6F" w:rsidRDefault="00507DE6" w:rsidP="000D0AB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color w:val="000000"/>
                <w:sz w:val="16"/>
                <w:szCs w:val="16"/>
              </w:rPr>
            </w:pPr>
            <w:r w:rsidRPr="00971F6F">
              <w:rPr>
                <w:color w:val="000000"/>
                <w:sz w:val="16"/>
                <w:szCs w:val="16"/>
              </w:rPr>
              <w:t xml:space="preserve">- входной и межкомнатных дверей без механических повреждений с исправными замками и с полным комплектом ключей на каждый замок; </w:t>
            </w:r>
          </w:p>
          <w:p w:rsidR="00507DE6" w:rsidRPr="00971F6F" w:rsidRDefault="00507DE6" w:rsidP="000D0AB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color w:val="000000"/>
                <w:sz w:val="16"/>
                <w:szCs w:val="16"/>
              </w:rPr>
            </w:pPr>
            <w:r w:rsidRPr="00971F6F">
              <w:rPr>
                <w:color w:val="000000"/>
                <w:sz w:val="16"/>
                <w:szCs w:val="16"/>
              </w:rPr>
              <w:t xml:space="preserve">- оконных блоков (пластиковые стеклопакеты) без механических повреждений с исправными замками; </w:t>
            </w:r>
          </w:p>
          <w:p w:rsidR="00507DE6" w:rsidRPr="00971F6F" w:rsidRDefault="00507DE6" w:rsidP="000D0AB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color w:val="000000"/>
                <w:sz w:val="16"/>
                <w:szCs w:val="16"/>
              </w:rPr>
            </w:pPr>
            <w:r w:rsidRPr="00971F6F">
              <w:rPr>
                <w:color w:val="000000"/>
                <w:sz w:val="16"/>
                <w:szCs w:val="16"/>
              </w:rPr>
              <w:t xml:space="preserve">- электрической разводки, </w:t>
            </w:r>
            <w:proofErr w:type="spellStart"/>
            <w:r w:rsidRPr="00971F6F">
              <w:rPr>
                <w:color w:val="000000"/>
                <w:sz w:val="16"/>
                <w:szCs w:val="16"/>
              </w:rPr>
              <w:t>электророзеток</w:t>
            </w:r>
            <w:proofErr w:type="spellEnd"/>
            <w:r w:rsidRPr="00971F6F">
              <w:rPr>
                <w:color w:val="000000"/>
                <w:sz w:val="16"/>
                <w:szCs w:val="16"/>
              </w:rPr>
              <w:t xml:space="preserve"> и выключателей электросчётчика в исправном состоянии; </w:t>
            </w:r>
          </w:p>
          <w:p w:rsidR="00507DE6" w:rsidRPr="00971F6F" w:rsidRDefault="00507DE6" w:rsidP="000D0AB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color w:val="000000"/>
                <w:sz w:val="16"/>
                <w:szCs w:val="16"/>
              </w:rPr>
            </w:pPr>
            <w:r w:rsidRPr="00971F6F">
              <w:rPr>
                <w:color w:val="000000"/>
                <w:sz w:val="16"/>
                <w:szCs w:val="16"/>
              </w:rPr>
              <w:t xml:space="preserve">- приборов учета горячей и холодной воды с незаконченным сроком эксплуатации и наличием паспортов на каждый узел учета; </w:t>
            </w:r>
          </w:p>
          <w:p w:rsidR="00507DE6" w:rsidRPr="00971F6F" w:rsidRDefault="00507DE6" w:rsidP="000D0AB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color w:val="000000"/>
                <w:sz w:val="16"/>
                <w:szCs w:val="16"/>
              </w:rPr>
            </w:pPr>
            <w:r w:rsidRPr="00971F6F">
              <w:rPr>
                <w:color w:val="000000"/>
                <w:sz w:val="16"/>
                <w:szCs w:val="16"/>
              </w:rPr>
              <w:t xml:space="preserve">- центральной отопительной системы, сантехнических стояков, вентиляции в исправном состоянии; </w:t>
            </w:r>
          </w:p>
          <w:p w:rsidR="00507DE6" w:rsidRPr="00971F6F" w:rsidRDefault="00507DE6" w:rsidP="000D0AB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color w:val="000000"/>
                <w:sz w:val="16"/>
                <w:szCs w:val="16"/>
              </w:rPr>
            </w:pPr>
            <w:r w:rsidRPr="00971F6F">
              <w:rPr>
                <w:color w:val="000000"/>
                <w:sz w:val="16"/>
                <w:szCs w:val="16"/>
              </w:rPr>
              <w:t>- чистовой отделки стен и потолков без механических повреждений,</w:t>
            </w:r>
          </w:p>
          <w:p w:rsidR="00507DE6" w:rsidRPr="00971F6F" w:rsidRDefault="00507DE6" w:rsidP="000D0AB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color w:val="000000"/>
                <w:sz w:val="16"/>
                <w:szCs w:val="16"/>
              </w:rPr>
            </w:pPr>
            <w:r w:rsidRPr="00971F6F">
              <w:rPr>
                <w:color w:val="000000"/>
                <w:sz w:val="16"/>
                <w:szCs w:val="16"/>
              </w:rPr>
              <w:t xml:space="preserve">- электроплиты или газовой плиты в исправном состоянии без механических повреждений с паспортом на плиту; </w:t>
            </w:r>
          </w:p>
          <w:p w:rsidR="00507DE6" w:rsidRPr="00971F6F" w:rsidRDefault="00507DE6" w:rsidP="000D0AB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color w:val="000000"/>
                <w:sz w:val="16"/>
                <w:szCs w:val="16"/>
              </w:rPr>
            </w:pPr>
            <w:r w:rsidRPr="00971F6F">
              <w:rPr>
                <w:color w:val="000000"/>
                <w:sz w:val="16"/>
                <w:szCs w:val="16"/>
              </w:rPr>
              <w:t xml:space="preserve">- полов (настил всех видов) без механических повреждений, </w:t>
            </w:r>
          </w:p>
          <w:p w:rsidR="00507DE6" w:rsidRPr="00F23435" w:rsidRDefault="00507DE6" w:rsidP="000D0AB1">
            <w:pPr>
              <w:tabs>
                <w:tab w:val="num" w:pos="0"/>
              </w:tabs>
              <w:autoSpaceDE w:val="0"/>
              <w:autoSpaceDN w:val="0"/>
              <w:adjustRightInd w:val="0"/>
              <w:ind w:left="34" w:firstLine="153"/>
              <w:jc w:val="both"/>
              <w:rPr>
                <w:bCs/>
                <w:sz w:val="18"/>
                <w:szCs w:val="18"/>
                <w:highlight w:val="yellow"/>
              </w:rPr>
            </w:pPr>
            <w:r w:rsidRPr="00971F6F">
              <w:rPr>
                <w:color w:val="000000"/>
                <w:sz w:val="16"/>
                <w:szCs w:val="16"/>
              </w:rPr>
              <w:t>- сантехнического оборудования: унитаз, ванна или душевая кабина, раковина со смесителями, мойка в исправном состоянии, без механических повреждений</w:t>
            </w:r>
            <w:proofErr w:type="gramStart"/>
            <w:r w:rsidRPr="00971F6F">
              <w:rPr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507DE6" w:rsidRPr="00931759" w:rsidRDefault="00507DE6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  <w:p w:rsidR="00507DE6" w:rsidRPr="00931759" w:rsidRDefault="00507DE6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07DE6" w:rsidRPr="00931759" w:rsidRDefault="00507DE6" w:rsidP="000D0AB1">
            <w:pPr>
              <w:suppressAutoHyphens w:val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931759">
              <w:rPr>
                <w:bCs/>
                <w:sz w:val="18"/>
                <w:szCs w:val="18"/>
              </w:rPr>
              <w:t>соответствует</w:t>
            </w:r>
          </w:p>
        </w:tc>
        <w:tc>
          <w:tcPr>
            <w:tcW w:w="1843" w:type="dxa"/>
          </w:tcPr>
          <w:p w:rsidR="00507DE6" w:rsidRPr="00931759" w:rsidRDefault="00507DE6" w:rsidP="00507DE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507DE6" w:rsidRPr="00931759" w:rsidRDefault="00507DE6" w:rsidP="00507DE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507DE6" w:rsidRPr="00931759" w:rsidRDefault="00507DE6" w:rsidP="00507DE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507DE6" w:rsidRPr="00931759" w:rsidRDefault="00507DE6" w:rsidP="00507DE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507DE6" w:rsidRPr="00931759" w:rsidRDefault="00507DE6" w:rsidP="00507DE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507DE6" w:rsidRPr="00931759" w:rsidRDefault="00507DE6" w:rsidP="00507DE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507DE6" w:rsidRPr="00931759" w:rsidRDefault="00507DE6" w:rsidP="00507DE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507DE6" w:rsidRPr="00931759" w:rsidRDefault="00507DE6" w:rsidP="00507DE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507DE6" w:rsidRPr="00931759" w:rsidRDefault="00507DE6" w:rsidP="00507DE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507DE6" w:rsidRPr="00931759" w:rsidRDefault="00507DE6" w:rsidP="00507DE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507DE6" w:rsidRPr="00931759" w:rsidRDefault="00507DE6" w:rsidP="00507DE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507DE6" w:rsidRPr="00931759" w:rsidRDefault="00507DE6" w:rsidP="00507DE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507DE6" w:rsidRPr="00931759" w:rsidRDefault="00507DE6" w:rsidP="00507DE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507DE6" w:rsidRPr="00931759" w:rsidRDefault="00507DE6" w:rsidP="00507DE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507DE6" w:rsidRPr="00931759" w:rsidRDefault="00507DE6" w:rsidP="00507DE6">
            <w:pPr>
              <w:jc w:val="center"/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</w:tc>
      </w:tr>
      <w:tr w:rsidR="00507DE6" w:rsidRPr="00CC60A8" w:rsidTr="00507DE6">
        <w:trPr>
          <w:trHeight w:val="107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DE6" w:rsidRPr="00CC60A8" w:rsidRDefault="00507DE6" w:rsidP="000D0AB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DE6" w:rsidRDefault="00507DE6" w:rsidP="000D0A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E6" w:rsidRDefault="00507DE6" w:rsidP="000D0AB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b/>
                <w:sz w:val="18"/>
                <w:szCs w:val="18"/>
              </w:rPr>
            </w:pPr>
            <w:r w:rsidRPr="00971F6F">
              <w:rPr>
                <w:b/>
                <w:sz w:val="18"/>
                <w:szCs w:val="18"/>
              </w:rPr>
              <w:t>Требования к условиям проживания в жилом помещении</w:t>
            </w:r>
            <w:r>
              <w:rPr>
                <w:b/>
                <w:sz w:val="18"/>
                <w:szCs w:val="18"/>
              </w:rPr>
              <w:t xml:space="preserve">: </w:t>
            </w:r>
          </w:p>
          <w:p w:rsidR="00507DE6" w:rsidRPr="00971F6F" w:rsidRDefault="00507DE6" w:rsidP="000D0AB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b/>
                <w:sz w:val="18"/>
                <w:szCs w:val="18"/>
              </w:rPr>
            </w:pPr>
            <w:r w:rsidRPr="00971F6F">
              <w:rPr>
                <w:sz w:val="18"/>
                <w:szCs w:val="18"/>
              </w:rPr>
              <w:t>Соответствовать санитарно-эпидемиологическим правилам и нормативам СанПиН 2.1.2.2645-10</w:t>
            </w:r>
            <w:r w:rsidRPr="001237B3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7DE6" w:rsidRPr="00931759" w:rsidRDefault="00507DE6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  <w:p w:rsidR="00507DE6" w:rsidRPr="00931759" w:rsidRDefault="00507DE6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07DE6" w:rsidRPr="00931759" w:rsidRDefault="00507DE6" w:rsidP="000D0AB1">
            <w:pPr>
              <w:suppressAutoHyphens w:val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931759">
              <w:rPr>
                <w:bCs/>
                <w:sz w:val="18"/>
                <w:szCs w:val="18"/>
              </w:rPr>
              <w:t>соответствует</w:t>
            </w:r>
          </w:p>
        </w:tc>
        <w:tc>
          <w:tcPr>
            <w:tcW w:w="1843" w:type="dxa"/>
          </w:tcPr>
          <w:p w:rsidR="00507DE6" w:rsidRPr="00931759" w:rsidRDefault="00507DE6" w:rsidP="00507DE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507DE6" w:rsidRPr="00931759" w:rsidRDefault="00507DE6" w:rsidP="00507DE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507DE6" w:rsidRPr="00931759" w:rsidRDefault="00507DE6" w:rsidP="00507DE6">
            <w:pPr>
              <w:jc w:val="center"/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</w:tc>
      </w:tr>
      <w:tr w:rsidR="00507DE6" w:rsidRPr="00CC60A8" w:rsidTr="00507DE6">
        <w:trPr>
          <w:trHeight w:val="148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DE6" w:rsidRPr="00CC60A8" w:rsidRDefault="00507DE6" w:rsidP="000D0AB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DE6" w:rsidRDefault="00507DE6" w:rsidP="000D0A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E6" w:rsidRPr="00971F6F" w:rsidRDefault="00507DE6" w:rsidP="000D0AB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b/>
                <w:sz w:val="18"/>
                <w:szCs w:val="18"/>
              </w:rPr>
            </w:pPr>
            <w:r w:rsidRPr="00971F6F">
              <w:rPr>
                <w:b/>
                <w:sz w:val="18"/>
                <w:szCs w:val="18"/>
              </w:rPr>
              <w:t xml:space="preserve">Гарантийный срок:  </w:t>
            </w:r>
            <w:r w:rsidRPr="00971F6F">
              <w:rPr>
                <w:sz w:val="18"/>
                <w:szCs w:val="18"/>
                <w:shd w:val="clear" w:color="auto" w:fill="FFFFFF"/>
              </w:rPr>
              <w:t>в течение 36</w:t>
            </w:r>
            <w:r w:rsidRPr="00971F6F">
              <w:rPr>
                <w:sz w:val="18"/>
                <w:szCs w:val="18"/>
              </w:rPr>
              <w:t xml:space="preserve"> (тридцати шести) месяцев со дня подписания акта приема-передачи на жилое помещение.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7DE6" w:rsidRPr="00931759" w:rsidRDefault="00507DE6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  <w:p w:rsidR="00507DE6" w:rsidRPr="00931759" w:rsidRDefault="00507DE6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07DE6" w:rsidRPr="00931759" w:rsidRDefault="00507DE6" w:rsidP="000D0AB1">
            <w:pPr>
              <w:suppressAutoHyphens w:val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931759">
              <w:rPr>
                <w:bCs/>
                <w:sz w:val="18"/>
                <w:szCs w:val="18"/>
              </w:rPr>
              <w:t>соответствует</w:t>
            </w:r>
          </w:p>
        </w:tc>
        <w:tc>
          <w:tcPr>
            <w:tcW w:w="1843" w:type="dxa"/>
          </w:tcPr>
          <w:p w:rsidR="00507DE6" w:rsidRPr="00931759" w:rsidRDefault="00507DE6" w:rsidP="00507DE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507DE6" w:rsidRPr="00931759" w:rsidRDefault="00507DE6" w:rsidP="00507DE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507DE6" w:rsidRPr="00931759" w:rsidRDefault="00507DE6" w:rsidP="00507DE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507DE6" w:rsidRPr="00931759" w:rsidRDefault="00507DE6" w:rsidP="00507DE6">
            <w:pPr>
              <w:jc w:val="center"/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</w:tc>
      </w:tr>
      <w:tr w:rsidR="00507DE6" w:rsidRPr="00CC60A8" w:rsidTr="00507DE6">
        <w:trPr>
          <w:trHeight w:val="41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DE6" w:rsidRPr="00CC60A8" w:rsidRDefault="00507DE6" w:rsidP="000D0AB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DE6" w:rsidRPr="00CC60A8" w:rsidRDefault="00507DE6" w:rsidP="000D0A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E6" w:rsidRPr="00F23435" w:rsidRDefault="00507DE6" w:rsidP="000D0AB1">
            <w:pPr>
              <w:autoSpaceDE w:val="0"/>
              <w:snapToGrid w:val="0"/>
              <w:rPr>
                <w:b/>
                <w:sz w:val="18"/>
                <w:szCs w:val="18"/>
              </w:rPr>
            </w:pPr>
            <w:r w:rsidRPr="00F23435">
              <w:rPr>
                <w:b/>
                <w:sz w:val="18"/>
                <w:szCs w:val="18"/>
              </w:rPr>
              <w:t>Количество</w:t>
            </w:r>
            <w:r>
              <w:rPr>
                <w:b/>
                <w:sz w:val="18"/>
                <w:szCs w:val="18"/>
              </w:rPr>
              <w:t xml:space="preserve"> жилых помещений</w:t>
            </w:r>
            <w:r w:rsidRPr="00F23435">
              <w:rPr>
                <w:sz w:val="18"/>
                <w:szCs w:val="18"/>
              </w:rPr>
              <w:t>: 1</w:t>
            </w:r>
            <w:r w:rsidRPr="00F2343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7DE6" w:rsidRPr="00931759" w:rsidRDefault="00507DE6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  <w:p w:rsidR="00507DE6" w:rsidRPr="00931759" w:rsidRDefault="00507DE6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07DE6" w:rsidRPr="00D73F83" w:rsidRDefault="00507DE6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3F83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</w:tc>
        <w:tc>
          <w:tcPr>
            <w:tcW w:w="1843" w:type="dxa"/>
          </w:tcPr>
          <w:p w:rsidR="00507DE6" w:rsidRPr="00931759" w:rsidRDefault="00507DE6" w:rsidP="00507DE6">
            <w:pPr>
              <w:jc w:val="center"/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</w:tc>
      </w:tr>
      <w:tr w:rsidR="00507DE6" w:rsidRPr="00CC60A8" w:rsidTr="00507DE6">
        <w:trPr>
          <w:trHeight w:val="41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DE6" w:rsidRPr="00CC60A8" w:rsidRDefault="00507DE6" w:rsidP="000D0AB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DE6" w:rsidRDefault="00507DE6" w:rsidP="000D0A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E6" w:rsidRPr="00F23435" w:rsidRDefault="00507DE6" w:rsidP="000D0AB1">
            <w:pPr>
              <w:autoSpaceDE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комнат:</w:t>
            </w:r>
            <w:r w:rsidRPr="001237B3">
              <w:rPr>
                <w:color w:val="000000"/>
                <w:sz w:val="20"/>
                <w:szCs w:val="20"/>
              </w:rPr>
              <w:t xml:space="preserve"> Не менее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7DE6" w:rsidRPr="00931759" w:rsidRDefault="00507DE6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  <w:p w:rsidR="00507DE6" w:rsidRPr="00931759" w:rsidRDefault="00507DE6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07DE6" w:rsidRPr="00931759" w:rsidRDefault="00507DE6" w:rsidP="00507DE6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не </w:t>
            </w: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  <w:p w:rsidR="00507DE6" w:rsidRDefault="00507DE6" w:rsidP="000D0AB1">
            <w:pPr>
              <w:suppressAutoHyphens w:val="0"/>
              <w:jc w:val="center"/>
              <w:rPr>
                <w:b/>
                <w:bCs/>
                <w:sz w:val="18"/>
                <w:szCs w:val="18"/>
              </w:rPr>
            </w:pPr>
          </w:p>
          <w:p w:rsidR="00507DE6" w:rsidRPr="00507DE6" w:rsidRDefault="00507DE6" w:rsidP="00507DE6">
            <w:pPr>
              <w:suppressAutoHyphens w:val="0"/>
              <w:jc w:val="center"/>
              <w:rPr>
                <w:rFonts w:eastAsia="Calibri"/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(в </w:t>
            </w:r>
            <w:r w:rsidRPr="00507DE6">
              <w:rPr>
                <w:b/>
                <w:bCs/>
                <w:sz w:val="18"/>
                <w:szCs w:val="18"/>
              </w:rPr>
              <w:t xml:space="preserve">описании </w:t>
            </w:r>
            <w:r w:rsidRPr="00507DE6">
              <w:rPr>
                <w:b/>
                <w:bCs/>
                <w:sz w:val="18"/>
                <w:szCs w:val="18"/>
              </w:rPr>
              <w:lastRenderedPageBreak/>
              <w:t>характеристик присутствуют слова «не менее»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507DE6" w:rsidRPr="00931759" w:rsidRDefault="00507DE6" w:rsidP="00507DE6">
            <w:pPr>
              <w:jc w:val="center"/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lastRenderedPageBreak/>
              <w:t>соответствует</w:t>
            </w:r>
          </w:p>
        </w:tc>
      </w:tr>
      <w:tr w:rsidR="00507DE6" w:rsidRPr="00CC60A8" w:rsidTr="00507DE6">
        <w:trPr>
          <w:trHeight w:val="84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DE6" w:rsidRPr="00CC60A8" w:rsidRDefault="00507DE6" w:rsidP="000D0AB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DE6" w:rsidRPr="00CC60A8" w:rsidRDefault="00507DE6" w:rsidP="000D0A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E6" w:rsidRPr="00F23435" w:rsidRDefault="00507DE6" w:rsidP="000D0AB1">
            <w:pPr>
              <w:autoSpaceDE w:val="0"/>
              <w:snapToGrid w:val="0"/>
              <w:rPr>
                <w:b/>
                <w:sz w:val="18"/>
                <w:szCs w:val="18"/>
              </w:rPr>
            </w:pPr>
            <w:r w:rsidRPr="00F23435">
              <w:rPr>
                <w:b/>
                <w:sz w:val="18"/>
                <w:szCs w:val="18"/>
              </w:rPr>
              <w:t xml:space="preserve">Общая площадь </w:t>
            </w:r>
            <w:r>
              <w:rPr>
                <w:b/>
                <w:sz w:val="18"/>
                <w:szCs w:val="18"/>
              </w:rPr>
              <w:t>жилого помещения</w:t>
            </w:r>
            <w:r w:rsidRPr="00F23435">
              <w:rPr>
                <w:b/>
                <w:sz w:val="18"/>
                <w:szCs w:val="18"/>
              </w:rPr>
              <w:t xml:space="preserve">: </w:t>
            </w:r>
            <w:r w:rsidRPr="00F23435">
              <w:rPr>
                <w:color w:val="000000"/>
                <w:sz w:val="18"/>
                <w:szCs w:val="18"/>
              </w:rPr>
              <w:t>Не менее 33 кв. метров (за исключением балконов, лоджий)</w:t>
            </w:r>
            <w:r w:rsidRPr="00F2343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7DE6" w:rsidRDefault="00507DE6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507DE6" w:rsidRPr="00931759" w:rsidRDefault="00507DE6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  <w:p w:rsidR="00507DE6" w:rsidRPr="00931759" w:rsidRDefault="00507DE6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07DE6" w:rsidRPr="00931759" w:rsidRDefault="00507DE6" w:rsidP="000D0AB1">
            <w:pPr>
              <w:suppressAutoHyphens w:val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931759">
              <w:rPr>
                <w:bCs/>
                <w:sz w:val="18"/>
                <w:szCs w:val="18"/>
              </w:rPr>
              <w:t>соответствует</w:t>
            </w:r>
          </w:p>
        </w:tc>
        <w:tc>
          <w:tcPr>
            <w:tcW w:w="1843" w:type="dxa"/>
          </w:tcPr>
          <w:p w:rsidR="00507DE6" w:rsidRPr="00931759" w:rsidRDefault="00507DE6" w:rsidP="00507DE6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507DE6" w:rsidRPr="00931759" w:rsidRDefault="00507DE6" w:rsidP="00507DE6">
            <w:pPr>
              <w:rPr>
                <w:rFonts w:eastAsia="Calibri"/>
                <w:color w:val="000000"/>
                <w:sz w:val="18"/>
                <w:szCs w:val="18"/>
              </w:rPr>
            </w:pPr>
          </w:p>
          <w:p w:rsidR="00507DE6" w:rsidRPr="00931759" w:rsidRDefault="00507DE6" w:rsidP="00507DE6">
            <w:pPr>
              <w:jc w:val="center"/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</w:tc>
      </w:tr>
    </w:tbl>
    <w:p w:rsidR="00B42254" w:rsidRDefault="00B42254" w:rsidP="006A6B09">
      <w:pPr>
        <w:ind w:left="426"/>
        <w:rPr>
          <w:rFonts w:cs="Calibri"/>
          <w:b/>
          <w:bCs/>
          <w:color w:val="000000"/>
          <w:sz w:val="18"/>
          <w:szCs w:val="18"/>
        </w:rPr>
      </w:pPr>
    </w:p>
    <w:p w:rsidR="00551618" w:rsidRDefault="00551618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sectPr w:rsidR="00B42254" w:rsidSect="00551618">
      <w:pgSz w:w="11906" w:h="16838"/>
      <w:pgMar w:top="284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8BE" w:rsidRDefault="001C18BE" w:rsidP="001C18BE">
      <w:r>
        <w:separator/>
      </w:r>
    </w:p>
  </w:endnote>
  <w:endnote w:type="continuationSeparator" w:id="0">
    <w:p w:rsidR="001C18BE" w:rsidRDefault="001C18BE" w:rsidP="001C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8BE" w:rsidRDefault="001C18BE" w:rsidP="001C18BE">
      <w:r>
        <w:separator/>
      </w:r>
    </w:p>
  </w:footnote>
  <w:footnote w:type="continuationSeparator" w:id="0">
    <w:p w:rsidR="001C18BE" w:rsidRDefault="001C18BE" w:rsidP="001C1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2B"/>
    <w:rsid w:val="000F7B15"/>
    <w:rsid w:val="001C18BE"/>
    <w:rsid w:val="001D5745"/>
    <w:rsid w:val="002E329D"/>
    <w:rsid w:val="00391B07"/>
    <w:rsid w:val="003F1B0A"/>
    <w:rsid w:val="00433EB0"/>
    <w:rsid w:val="00494D50"/>
    <w:rsid w:val="004B66E9"/>
    <w:rsid w:val="00507DE6"/>
    <w:rsid w:val="00551618"/>
    <w:rsid w:val="005C7173"/>
    <w:rsid w:val="005E3308"/>
    <w:rsid w:val="00605EC8"/>
    <w:rsid w:val="006A6B09"/>
    <w:rsid w:val="007618AA"/>
    <w:rsid w:val="007B55D8"/>
    <w:rsid w:val="007B74DA"/>
    <w:rsid w:val="007D6F93"/>
    <w:rsid w:val="00805DD9"/>
    <w:rsid w:val="00823F29"/>
    <w:rsid w:val="008F49D0"/>
    <w:rsid w:val="00912B52"/>
    <w:rsid w:val="00970FB0"/>
    <w:rsid w:val="00B42254"/>
    <w:rsid w:val="00B813FF"/>
    <w:rsid w:val="00BB75D2"/>
    <w:rsid w:val="00CB6059"/>
    <w:rsid w:val="00CE2BCD"/>
    <w:rsid w:val="00D70E40"/>
    <w:rsid w:val="00DE2B36"/>
    <w:rsid w:val="00E505E6"/>
    <w:rsid w:val="00F01658"/>
    <w:rsid w:val="00F17271"/>
    <w:rsid w:val="00FA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99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1C18BE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C1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18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18BE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b">
    <w:name w:val="Normal (Web)"/>
    <w:basedOn w:val="a"/>
    <w:uiPriority w:val="99"/>
    <w:unhideWhenUsed/>
    <w:rsid w:val="004B66E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ceouttxt6">
    <w:name w:val="iceouttxt6"/>
    <w:basedOn w:val="a0"/>
    <w:rsid w:val="004B66E9"/>
    <w:rPr>
      <w:rFonts w:ascii="Arial" w:hAnsi="Arial" w:cs="Arial" w:hint="default"/>
      <w:color w:val="666666"/>
      <w:sz w:val="15"/>
      <w:szCs w:val="15"/>
    </w:rPr>
  </w:style>
  <w:style w:type="paragraph" w:styleId="ac">
    <w:name w:val="No Spacing"/>
    <w:uiPriority w:val="1"/>
    <w:qFormat/>
    <w:rsid w:val="00507DE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99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1C18BE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C1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18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18BE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b">
    <w:name w:val="Normal (Web)"/>
    <w:basedOn w:val="a"/>
    <w:uiPriority w:val="99"/>
    <w:unhideWhenUsed/>
    <w:rsid w:val="004B66E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ceouttxt6">
    <w:name w:val="iceouttxt6"/>
    <w:basedOn w:val="a0"/>
    <w:rsid w:val="004B66E9"/>
    <w:rPr>
      <w:rFonts w:ascii="Arial" w:hAnsi="Arial" w:cs="Arial" w:hint="default"/>
      <w:color w:val="666666"/>
      <w:sz w:val="15"/>
      <w:szCs w:val="15"/>
    </w:rPr>
  </w:style>
  <w:style w:type="paragraph" w:styleId="ac">
    <w:name w:val="No Spacing"/>
    <w:uiPriority w:val="1"/>
    <w:qFormat/>
    <w:rsid w:val="00507DE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21</cp:revision>
  <cp:lastPrinted>2018-03-22T04:20:00Z</cp:lastPrinted>
  <dcterms:created xsi:type="dcterms:W3CDTF">2017-12-26T04:49:00Z</dcterms:created>
  <dcterms:modified xsi:type="dcterms:W3CDTF">2018-03-22T06:19:00Z</dcterms:modified>
</cp:coreProperties>
</file>