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B057C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noProof/>
        </w:rPr>
        <w:drawing>
          <wp:inline distT="0" distB="0" distL="0" distR="0" wp14:anchorId="15A4DDA6" wp14:editId="2577083C">
            <wp:extent cx="610044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00445" cy="8618220"/>
                    </a:xfrm>
                    <a:prstGeom prst="rect">
                      <a:avLst/>
                    </a:prstGeom>
                  </pic:spPr>
                </pic:pic>
              </a:graphicData>
            </a:graphic>
          </wp:inline>
        </w:drawing>
      </w:r>
    </w:p>
    <w:p w:rsidR="00B057C3" w:rsidRDefault="00B057C3" w:rsidP="00AB5AB7">
      <w:pPr>
        <w:pStyle w:val="ConsPlusNormal"/>
        <w:widowControl/>
        <w:spacing w:before="120" w:after="120" w:line="360" w:lineRule="auto"/>
        <w:ind w:firstLine="0"/>
        <w:jc w:val="center"/>
        <w:rPr>
          <w:rFonts w:ascii="Times New Roman" w:hAnsi="Times New Roman" w:cs="Times New Roman"/>
          <w:b/>
          <w:bCs/>
          <w:sz w:val="24"/>
          <w:szCs w:val="24"/>
        </w:rPr>
      </w:pP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E60B02">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B13B99">
              <w:rPr>
                <w:color w:val="FF0000"/>
              </w:rPr>
              <w:t>1</w:t>
            </w:r>
            <w:r w:rsidR="00E60B02">
              <w:rPr>
                <w:color w:val="FF0000"/>
              </w:rPr>
              <w:t>3</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7C5990" w:rsidP="00924A3D">
            <w:pPr>
              <w:keepNext/>
              <w:keepLines/>
              <w:widowControl w:val="0"/>
              <w:suppressLineNumbers/>
              <w:suppressAutoHyphens/>
              <w:rPr>
                <w:rStyle w:val="a8"/>
                <w:i w:val="0"/>
              </w:rPr>
            </w:pPr>
            <w:r>
              <w:rPr>
                <w:rStyle w:val="a8"/>
                <w:b/>
                <w:i w:val="0"/>
                <w:highlight w:val="yellow"/>
              </w:rPr>
              <w:t>1 867 965</w:t>
            </w:r>
            <w:r w:rsidR="00AB5AB7" w:rsidRPr="008B7279">
              <w:rPr>
                <w:rStyle w:val="a8"/>
                <w:b/>
                <w:i w:val="0"/>
                <w:highlight w:val="yellow"/>
              </w:rPr>
              <w:t>,00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BC4BF9">
              <w:t>24</w:t>
            </w:r>
            <w:r w:rsidRPr="008B7279">
              <w:t>_» </w:t>
            </w:r>
            <w:r w:rsidR="00BC4BF9">
              <w:rPr>
                <w:rFonts w:ascii="PT Astra Serif" w:hAnsi="PT Astra Serif"/>
                <w:sz w:val="22"/>
                <w:szCs w:val="22"/>
              </w:rPr>
              <w:t xml:space="preserve">мая </w:t>
            </w:r>
            <w:r w:rsidRPr="008B7279">
              <w:t>202</w:t>
            </w:r>
            <w:r w:rsidR="00BC4BF9">
              <w:t>1</w:t>
            </w:r>
            <w:r w:rsidRPr="008B7279">
              <w:t xml:space="preserve">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BF9">
              <w:rPr>
                <w:color w:val="000099"/>
              </w:rPr>
              <w:t>10</w:t>
            </w:r>
            <w:r w:rsidRPr="008B7279">
              <w:rPr>
                <w:color w:val="000099"/>
              </w:rPr>
              <w:t xml:space="preserve"> часов </w:t>
            </w:r>
            <w:r w:rsidR="00BC4BF9">
              <w:rPr>
                <w:color w:val="000099"/>
              </w:rPr>
              <w:t>00</w:t>
            </w:r>
            <w:r w:rsidRPr="008B7279">
              <w:rPr>
                <w:color w:val="000099"/>
              </w:rPr>
              <w:t xml:space="preserve"> минут «</w:t>
            </w:r>
            <w:r w:rsidR="00BC4BF9">
              <w:rPr>
                <w:color w:val="000099"/>
              </w:rPr>
              <w:t>26</w:t>
            </w:r>
            <w:r w:rsidRPr="008B7279">
              <w:rPr>
                <w:color w:val="000099"/>
              </w:rPr>
              <w:t>» </w:t>
            </w:r>
            <w:r w:rsidR="00BC4BF9">
              <w:rPr>
                <w:rFonts w:ascii="PT Astra Serif" w:hAnsi="PT Astra Serif"/>
                <w:sz w:val="22"/>
                <w:szCs w:val="22"/>
              </w:rPr>
              <w:t xml:space="preserve">мая </w:t>
            </w:r>
            <w:r w:rsidRPr="008B7279">
              <w:rPr>
                <w:color w:val="000099"/>
              </w:rPr>
              <w:t>202</w:t>
            </w:r>
            <w:r w:rsidR="00BC4BF9">
              <w:rPr>
                <w:color w:val="000099"/>
              </w:rPr>
              <w:t>1</w:t>
            </w:r>
            <w:r w:rsidRPr="008B7279">
              <w:rPr>
                <w:color w:val="000099"/>
              </w:rPr>
              <w:t xml:space="preserve">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C4BF9">
            <w:pPr>
              <w:spacing w:line="276" w:lineRule="auto"/>
            </w:pPr>
            <w:r w:rsidRPr="008B7279">
              <w:t>«</w:t>
            </w:r>
            <w:r w:rsidR="00BC4BF9">
              <w:t>27</w:t>
            </w:r>
            <w:r w:rsidRPr="008B7279">
              <w:t>» </w:t>
            </w:r>
            <w:r w:rsidR="00BC4BF9">
              <w:rPr>
                <w:rFonts w:ascii="PT Astra Serif" w:hAnsi="PT Astra Serif"/>
                <w:sz w:val="22"/>
                <w:szCs w:val="22"/>
              </w:rPr>
              <w:t xml:space="preserve">мая </w:t>
            </w:r>
            <w:r w:rsidRPr="008B7279">
              <w:t>202</w:t>
            </w:r>
            <w:r w:rsidR="00BC4BF9">
              <w:t>1</w:t>
            </w:r>
            <w:r w:rsidRPr="008B7279">
              <w:t xml:space="preserve"> года</w:t>
            </w:r>
            <w:bookmarkStart w:id="12" w:name="_GoBack"/>
            <w:bookmarkEnd w:id="12"/>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C4BF9">
            <w:pPr>
              <w:spacing w:line="276" w:lineRule="auto"/>
            </w:pPr>
            <w:r w:rsidRPr="008B7279">
              <w:t>«</w:t>
            </w:r>
            <w:r w:rsidR="00BC4BF9">
              <w:t>28</w:t>
            </w:r>
            <w:r w:rsidRPr="008B7279">
              <w:t>» </w:t>
            </w:r>
            <w:r w:rsidR="00BC4BF9">
              <w:rPr>
                <w:rFonts w:ascii="PT Astra Serif" w:hAnsi="PT Astra Serif"/>
                <w:sz w:val="22"/>
                <w:szCs w:val="22"/>
              </w:rPr>
              <w:t xml:space="preserve">мая </w:t>
            </w:r>
            <w:r w:rsidRPr="008B7279">
              <w:t>202</w:t>
            </w:r>
            <w:r w:rsidR="00BC4BF9">
              <w:t>1</w:t>
            </w:r>
            <w:r w:rsidRPr="008B7279">
              <w:t xml:space="preserve">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E60B02">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B13B99">
              <w:rPr>
                <w:color w:val="FF0000"/>
              </w:rPr>
              <w:t>1</w:t>
            </w:r>
            <w:r w:rsidR="00E60B02">
              <w:rPr>
                <w:color w:val="FF0000"/>
              </w:rPr>
              <w:t>3</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D64AFC">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B13B99">
              <w:rPr>
                <w:color w:val="FF0000"/>
              </w:rPr>
              <w:t>1</w:t>
            </w:r>
            <w:r w:rsidR="00D64AFC">
              <w:rPr>
                <w:color w:val="FF0000"/>
              </w:rPr>
              <w:t>3</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64709"/>
    <w:rsid w:val="003B0C24"/>
    <w:rsid w:val="003E6A70"/>
    <w:rsid w:val="00406417"/>
    <w:rsid w:val="00407EF8"/>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1680C"/>
    <w:rsid w:val="0097010A"/>
    <w:rsid w:val="00A970C1"/>
    <w:rsid w:val="00A975A3"/>
    <w:rsid w:val="00AB5AB7"/>
    <w:rsid w:val="00B057C3"/>
    <w:rsid w:val="00B13B99"/>
    <w:rsid w:val="00B23F9C"/>
    <w:rsid w:val="00B93B5A"/>
    <w:rsid w:val="00BC3701"/>
    <w:rsid w:val="00BC3C7E"/>
    <w:rsid w:val="00BC4BF9"/>
    <w:rsid w:val="00BF1166"/>
    <w:rsid w:val="00C4373D"/>
    <w:rsid w:val="00C61590"/>
    <w:rsid w:val="00C7490E"/>
    <w:rsid w:val="00CA183B"/>
    <w:rsid w:val="00CA5DA1"/>
    <w:rsid w:val="00CB6D54"/>
    <w:rsid w:val="00D3370F"/>
    <w:rsid w:val="00D63451"/>
    <w:rsid w:val="00D64AFC"/>
    <w:rsid w:val="00D727BA"/>
    <w:rsid w:val="00D84F9E"/>
    <w:rsid w:val="00E60B02"/>
    <w:rsid w:val="00E64722"/>
    <w:rsid w:val="00E7397C"/>
    <w:rsid w:val="00E7447F"/>
    <w:rsid w:val="00E963B3"/>
    <w:rsid w:val="00EA7541"/>
    <w:rsid w:val="00F2197A"/>
    <w:rsid w:val="00F22497"/>
    <w:rsid w:val="00F8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26</Pages>
  <Words>8642</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65</cp:revision>
  <cp:lastPrinted>2020-03-24T10:11:00Z</cp:lastPrinted>
  <dcterms:created xsi:type="dcterms:W3CDTF">2020-03-19T05:45:00Z</dcterms:created>
  <dcterms:modified xsi:type="dcterms:W3CDTF">2021-05-18T11:00:00Z</dcterms:modified>
</cp:coreProperties>
</file>