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014CED">
            <w:pPr>
              <w:keepNext/>
              <w:keepLines/>
              <w:widowControl w:val="0"/>
              <w:suppressLineNumbers/>
              <w:suppressAutoHyphens/>
            </w:pPr>
            <w:r>
              <w:rPr>
                <w:color w:val="FF0000"/>
              </w:rPr>
              <w:t>1838622011490862201001102301</w:t>
            </w:r>
            <w:r w:rsidR="00014CED">
              <w:rPr>
                <w:color w:val="FF0000"/>
              </w:rPr>
              <w:t>8</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 xml:space="preserve">не позднее </w:t>
            </w:r>
            <w:r w:rsidR="00B671D6">
              <w:t>07 декабря</w:t>
            </w:r>
            <w:r w:rsidR="00635B8D">
              <w:t xml:space="preserve">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014CED" w:rsidP="006E2615">
            <w:pPr>
              <w:keepNext/>
              <w:keepLines/>
              <w:widowControl w:val="0"/>
              <w:suppressLineNumbers/>
              <w:suppressAutoHyphens/>
              <w:rPr>
                <w:rStyle w:val="afb"/>
                <w:i w:val="0"/>
              </w:rPr>
            </w:pPr>
            <w:r>
              <w:rPr>
                <w:rStyle w:val="afb"/>
                <w:b/>
                <w:i w:val="0"/>
              </w:rPr>
              <w:t>2 960 580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5F61B6">
              <w:t>10</w:t>
            </w:r>
            <w:r w:rsidR="005373D5">
              <w:t xml:space="preserve"> </w:t>
            </w:r>
            <w:r w:rsidRPr="00BD720A">
              <w:t>»</w:t>
            </w:r>
            <w:r w:rsidR="005373D5">
              <w:t xml:space="preserve">    </w:t>
            </w:r>
            <w:r w:rsidR="005F61B6">
              <w:t xml:space="preserve">ноября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F61B6">
              <w:t>17</w:t>
            </w:r>
            <w:r w:rsidR="00A05A73" w:rsidRPr="00BD720A">
              <w:t>»</w:t>
            </w:r>
            <w:r w:rsidR="00AB07FF" w:rsidRPr="00BD720A">
              <w:t xml:space="preserve">   </w:t>
            </w:r>
            <w:r w:rsidR="005F61B6">
              <w:t xml:space="preserve">ноября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F61B6">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F61B6">
              <w:t>19</w:t>
            </w:r>
            <w:r w:rsidR="005373D5">
              <w:t xml:space="preserve"> </w:t>
            </w:r>
            <w:r w:rsidR="00A05A73" w:rsidRPr="00BD720A">
              <w:t>» </w:t>
            </w:r>
            <w:r w:rsidR="00E06385" w:rsidRPr="00BD720A">
              <w:t xml:space="preserve">  </w:t>
            </w:r>
            <w:r w:rsidR="005373D5">
              <w:t xml:space="preserve">  </w:t>
            </w:r>
            <w:r w:rsidR="005F61B6">
              <w:t xml:space="preserve">ноября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F61B6">
            <w:pPr>
              <w:spacing w:line="276" w:lineRule="auto"/>
            </w:pPr>
            <w:r w:rsidRPr="00BD720A">
              <w:t>«</w:t>
            </w:r>
            <w:r w:rsidR="005F61B6">
              <w:t>20</w:t>
            </w:r>
            <w:bookmarkStart w:id="12" w:name="_GoBack"/>
            <w:bookmarkEnd w:id="12"/>
            <w:r w:rsidR="00A05A73" w:rsidRPr="00BD720A">
              <w:t>»</w:t>
            </w:r>
            <w:r w:rsidR="00AB07FF" w:rsidRPr="00BD720A">
              <w:t xml:space="preserve">   </w:t>
            </w:r>
            <w:r w:rsidR="005F61B6">
              <w:t xml:space="preserve">ноября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F61B6">
            <w:pPr>
              <w:spacing w:line="276" w:lineRule="auto"/>
            </w:pPr>
            <w:r w:rsidRPr="00BD720A">
              <w:t>«</w:t>
            </w:r>
            <w:r w:rsidR="005F61B6">
              <w:t>23</w:t>
            </w:r>
            <w:r w:rsidRPr="00BD720A">
              <w:t>»</w:t>
            </w:r>
            <w:r w:rsidR="008705A5">
              <w:t xml:space="preserve">  </w:t>
            </w:r>
            <w:r w:rsidR="005373D5">
              <w:t xml:space="preserve">  </w:t>
            </w:r>
            <w:r w:rsidR="005F61B6">
              <w:t xml:space="preserve">ноября </w:t>
            </w:r>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 xml:space="preserve">отсутствие у участника закупки недоимки по налогам, сборам, задолженности по иным обязательным платежам в бюджеты </w:t>
            </w:r>
            <w:r w:rsidR="00E60056" w:rsidRPr="00FB3770">
              <w:rPr>
                <w:kern w:val="1"/>
                <w:lang w:eastAsia="ar-SA"/>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FB3770">
              <w:rPr>
                <w:kern w:val="1"/>
                <w:lang w:eastAsia="ar-SA"/>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При отсутствии в заявке на участие в электронном аукционе документов, предусмотренных настоящим пунктом, или копий </w:t>
            </w:r>
            <w:r w:rsidRPr="00FB3770">
              <w:rPr>
                <w:kern w:val="1"/>
                <w:lang w:eastAsia="ar-SA"/>
              </w:rPr>
              <w:lastRenderedPageBreak/>
              <w:t>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FB3770">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 xml:space="preserve">При предоставлении участниками конкретных значений показателей необходимо исключить употребление слов и </w:t>
            </w:r>
            <w:r w:rsidRPr="00FB3770">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14CED">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014CED">
              <w:rPr>
                <w:b/>
                <w:kern w:val="1"/>
                <w:lang w:eastAsia="ar-SA"/>
              </w:rPr>
              <w:t>29 605</w:t>
            </w:r>
            <w:r w:rsidR="00FB4AF7">
              <w:rPr>
                <w:b/>
                <w:kern w:val="1"/>
                <w:lang w:eastAsia="ar-SA"/>
              </w:rPr>
              <w:t>,</w:t>
            </w:r>
            <w:r w:rsidR="00014CED">
              <w:rPr>
                <w:b/>
                <w:kern w:val="1"/>
                <w:lang w:eastAsia="ar-SA"/>
              </w:rPr>
              <w:t>80</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w:t>
            </w:r>
            <w:r w:rsidRPr="00BD720A">
              <w:rPr>
                <w:kern w:val="1"/>
                <w:lang w:eastAsia="ar-SA"/>
              </w:rPr>
              <w:lastRenderedPageBreak/>
              <w:t>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Pr="00014CED">
              <w:rPr>
                <w:rFonts w:ascii="Times New Roman" w:hAnsi="Times New Roman"/>
                <w:bCs w:val="0"/>
                <w:kern w:val="1"/>
                <w:lang w:eastAsia="ar-SA"/>
              </w:rPr>
              <w:t xml:space="preserve">: </w:t>
            </w:r>
            <w:r w:rsidR="00014CED" w:rsidRPr="00014CED">
              <w:rPr>
                <w:rFonts w:ascii="Times New Roman" w:hAnsi="Times New Roman"/>
                <w:bCs w:val="0"/>
                <w:kern w:val="1"/>
                <w:lang w:eastAsia="ar-SA"/>
              </w:rPr>
              <w:t>148 029</w:t>
            </w:r>
            <w:r w:rsidR="00FB4AF7">
              <w:rPr>
                <w:rFonts w:ascii="Times New Roman" w:hAnsi="Times New Roman"/>
                <w:bCs w:val="0"/>
                <w:kern w:val="1"/>
                <w:lang w:eastAsia="ar-SA"/>
              </w:rPr>
              <w:t>,</w:t>
            </w:r>
            <w:r w:rsidR="00014CED">
              <w:rPr>
                <w:rFonts w:ascii="Times New Roman" w:hAnsi="Times New Roman"/>
                <w:bCs w:val="0"/>
                <w:kern w:val="1"/>
                <w:lang w:eastAsia="ar-SA"/>
              </w:rPr>
              <w:t>00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w:t>
            </w:r>
            <w:r w:rsidRPr="00BD720A">
              <w:rPr>
                <w:kern w:val="1"/>
                <w:lang w:eastAsia="ar-SA"/>
              </w:rPr>
              <w:lastRenderedPageBreak/>
              <w:t>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BD720A">
              <w:rPr>
                <w:rFonts w:ascii="Times New Roman" w:hAnsi="Times New Roman"/>
                <w:b w:val="0"/>
                <w:bCs w:val="0"/>
                <w:kern w:val="1"/>
                <w:lang w:eastAsia="ar-SA"/>
              </w:rPr>
              <w:lastRenderedPageBreak/>
              <w:t>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FB4AF7">
            <w:pPr>
              <w:rPr>
                <w:color w:val="FF0000"/>
              </w:rPr>
            </w:pPr>
            <w:r w:rsidRPr="008705A5">
              <w:t>ИК</w:t>
            </w:r>
            <w:r w:rsidR="00201B2A" w:rsidRPr="008705A5">
              <w:t>З</w:t>
            </w:r>
            <w:r w:rsidR="00F13A9B" w:rsidRPr="008705A5">
              <w:t xml:space="preserve"> № </w:t>
            </w:r>
            <w:r w:rsidR="00FF5A48">
              <w:rPr>
                <w:color w:val="FF0000"/>
              </w:rPr>
              <w:t>1838622011490862201001102301</w:t>
            </w:r>
            <w:r w:rsidR="00014CED">
              <w:rPr>
                <w:color w:val="FF0000"/>
              </w:rPr>
              <w:t>8</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D720A">
              <w:rPr>
                <w:kern w:val="1"/>
                <w:lang w:eastAsia="ar-SA"/>
              </w:rPr>
              <w:lastRenderedPageBreak/>
              <w:t>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w:t>
            </w:r>
            <w:r w:rsidRPr="00BD720A">
              <w:lastRenderedPageBreak/>
              <w:t>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B671D6" w:rsidRPr="00415610" w:rsidRDefault="00B671D6" w:rsidP="00B671D6">
            <w:pPr>
              <w:autoSpaceDE w:val="0"/>
              <w:autoSpaceDN w:val="0"/>
              <w:adjustRightInd w:val="0"/>
            </w:pPr>
            <w:r w:rsidRPr="00415610">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671D6" w:rsidRPr="00415610" w:rsidRDefault="00B671D6" w:rsidP="00B671D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B671D6" w:rsidRPr="008705A5" w:rsidRDefault="00B671D6" w:rsidP="00E30F16">
            <w:pPr>
              <w:autoSpaceDE w:val="0"/>
              <w:autoSpaceDN w:val="0"/>
              <w:adjustRightInd w:val="0"/>
            </w:pP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BD720A">
              <w:rPr>
                <w:rFonts w:ascii="Times New Roman" w:hAnsi="Times New Roman"/>
                <w:sz w:val="24"/>
                <w:szCs w:val="24"/>
              </w:rPr>
              <w:lastRenderedPageBreak/>
              <w:t xml:space="preserve">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BD720A">
              <w:rPr>
                <w:rFonts w:ascii="Times New Roman" w:hAnsi="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1B5222">
            <w:pPr>
              <w:jc w:val="center"/>
              <w:rPr>
                <w:sz w:val="20"/>
                <w:szCs w:val="20"/>
              </w:rPr>
            </w:pPr>
            <w:r w:rsidRPr="001E5D07">
              <w:rPr>
                <w:sz w:val="20"/>
                <w:szCs w:val="20"/>
              </w:rPr>
              <w:t xml:space="preserve">Не более </w:t>
            </w:r>
            <w:r w:rsidR="00FC49C4">
              <w:rPr>
                <w:sz w:val="20"/>
                <w:szCs w:val="20"/>
              </w:rPr>
              <w:t>49 34</w:t>
            </w:r>
            <w:r w:rsidR="001B5222">
              <w:rPr>
                <w:sz w:val="20"/>
                <w:szCs w:val="20"/>
              </w:rPr>
              <w:t>3</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014CED">
            <w:pPr>
              <w:jc w:val="center"/>
              <w:rPr>
                <w:sz w:val="20"/>
                <w:szCs w:val="20"/>
              </w:rPr>
            </w:pPr>
            <w:r w:rsidRPr="001E5D07">
              <w:rPr>
                <w:sz w:val="20"/>
                <w:szCs w:val="20"/>
              </w:rPr>
              <w:t xml:space="preserve">Не менее </w:t>
            </w:r>
            <w:r w:rsidR="00014CED">
              <w:rPr>
                <w:sz w:val="20"/>
                <w:szCs w:val="20"/>
              </w:rPr>
              <w:t>60</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w:t>
      </w:r>
      <w:r w:rsidR="00014CED">
        <w:rPr>
          <w:color w:val="FF0000"/>
        </w:rPr>
        <w:t>8</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 xml:space="preserve">не позднее </w:t>
      </w:r>
      <w:r w:rsidR="001B5222">
        <w:rPr>
          <w:b/>
          <w:sz w:val="24"/>
          <w:szCs w:val="24"/>
        </w:rPr>
        <w:t>07 декабря</w:t>
      </w:r>
      <w:r w:rsidR="00FB52D4" w:rsidRPr="00FB52D4">
        <w:rPr>
          <w:b/>
          <w:sz w:val="24"/>
          <w:szCs w:val="24"/>
        </w:rPr>
        <w:t xml:space="preserve">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014CED">
        <w:rPr>
          <w:b/>
          <w:bCs/>
        </w:rPr>
        <w:t>148 029,00</w:t>
      </w:r>
      <w:r w:rsidR="00FB4AF7">
        <w:rPr>
          <w:b/>
          <w:bCs/>
        </w:rPr>
        <w:t xml:space="preserve"> (</w:t>
      </w:r>
      <w:r w:rsidR="00014CED">
        <w:rPr>
          <w:b/>
          <w:bCs/>
        </w:rPr>
        <w:t>Сто сорок восемь тысяч двадцать девять</w:t>
      </w:r>
      <w:r w:rsidR="00014CED">
        <w:rPr>
          <w:b/>
        </w:rPr>
        <w:t>) рублей 00</w:t>
      </w:r>
      <w:r w:rsidRPr="006C2F1C">
        <w:rPr>
          <w:b/>
        </w:rPr>
        <w:t xml:space="preserve">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w:t>
      </w:r>
      <w:r w:rsidR="00014CED">
        <w:rPr>
          <w:color w:val="FF0000"/>
        </w:rPr>
        <w:t>8</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014CED" w:rsidP="00051A29">
      <w:pPr>
        <w:ind w:firstLine="540"/>
        <w:rPr>
          <w:b/>
          <w:u w:val="single"/>
        </w:rPr>
      </w:pPr>
      <w:r>
        <w:rPr>
          <w:b/>
          <w:u w:val="single"/>
        </w:rPr>
        <w:t>общей площадью не менее 60</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014CED">
        <w:rPr>
          <w:b/>
        </w:rPr>
        <w:t xml:space="preserve"> НМЦК = 60</w:t>
      </w:r>
      <w:r w:rsidR="00065496">
        <w:rPr>
          <w:b/>
        </w:rPr>
        <w:t xml:space="preserve"> * </w:t>
      </w:r>
      <w:r w:rsidR="00976C31">
        <w:rPr>
          <w:b/>
        </w:rPr>
        <w:t>49 343</w:t>
      </w:r>
      <w:r w:rsidR="00014CED">
        <w:rPr>
          <w:b/>
        </w:rPr>
        <w:t>,00 руб. = 2 960 580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0C" w:rsidRDefault="00BF2E0C">
      <w:pPr>
        <w:spacing w:after="0"/>
      </w:pPr>
      <w:r>
        <w:separator/>
      </w:r>
    </w:p>
  </w:endnote>
  <w:endnote w:type="continuationSeparator" w:id="0">
    <w:p w:rsidR="00BF2E0C" w:rsidRDefault="00BF2E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32E" w:rsidRDefault="001C432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F61B6">
      <w:rPr>
        <w:rStyle w:val="a7"/>
        <w:noProof/>
      </w:rPr>
      <w:t>7</w:t>
    </w:r>
    <w:r>
      <w:rPr>
        <w:rStyle w:val="a7"/>
      </w:rPr>
      <w:fldChar w:fldCharType="end"/>
    </w:r>
  </w:p>
  <w:p w:rsidR="001C432E" w:rsidRDefault="001C432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0C" w:rsidRDefault="00BF2E0C">
      <w:pPr>
        <w:spacing w:after="0"/>
      </w:pPr>
      <w:r>
        <w:separator/>
      </w:r>
    </w:p>
  </w:footnote>
  <w:footnote w:type="continuationSeparator" w:id="0">
    <w:p w:rsidR="00BF2E0C" w:rsidRDefault="00BF2E0C">
      <w:pPr>
        <w:spacing w:after="0"/>
      </w:pPr>
      <w:r>
        <w:continuationSeparator/>
      </w:r>
    </w:p>
  </w:footnote>
  <w:footnote w:id="1">
    <w:p w:rsidR="001C432E" w:rsidRPr="006C2F1C" w:rsidRDefault="001C432E"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C432E" w:rsidRDefault="001C432E"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1C432E" w:rsidRDefault="001C432E"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1C432E" w:rsidRDefault="001C432E"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1C432E" w:rsidRDefault="001C432E"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1C432E" w:rsidRDefault="001C432E"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1C432E" w:rsidRDefault="001C432E"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1C432E" w:rsidRDefault="001C432E"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1C432E" w:rsidRDefault="001C432E"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1C432E" w:rsidRDefault="001C432E"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1C432E" w:rsidRDefault="001C432E" w:rsidP="00FB52D4">
      <w:pPr>
        <w:autoSpaceDE w:val="0"/>
        <w:autoSpaceDN w:val="0"/>
        <w:adjustRightInd w:val="0"/>
        <w:ind w:firstLine="540"/>
        <w:rPr>
          <w:sz w:val="18"/>
          <w:szCs w:val="18"/>
        </w:rPr>
      </w:pPr>
    </w:p>
  </w:footnote>
  <w:footnote w:id="3">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C432E" w:rsidRPr="00744501" w:rsidRDefault="001C432E" w:rsidP="00051A29">
      <w:pPr>
        <w:pStyle w:val="aff7"/>
        <w:jc w:val="both"/>
        <w:rPr>
          <w:sz w:val="16"/>
          <w:szCs w:val="16"/>
        </w:rPr>
      </w:pPr>
    </w:p>
  </w:footnote>
  <w:footnote w:id="4">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1C432E" w:rsidRPr="00744501" w:rsidRDefault="001C432E" w:rsidP="00051A29">
      <w:pPr>
        <w:pStyle w:val="aff7"/>
        <w:jc w:val="both"/>
        <w:rPr>
          <w:sz w:val="16"/>
          <w:szCs w:val="16"/>
        </w:rPr>
      </w:pPr>
    </w:p>
  </w:footnote>
  <w:footnote w:id="5">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4CED"/>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5222"/>
    <w:rsid w:val="001B6B20"/>
    <w:rsid w:val="001C252B"/>
    <w:rsid w:val="001C432E"/>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0B3"/>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AEF"/>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61B6"/>
    <w:rsid w:val="005F7D6A"/>
    <w:rsid w:val="00602BC5"/>
    <w:rsid w:val="00603BD9"/>
    <w:rsid w:val="0060772C"/>
    <w:rsid w:val="00611D8D"/>
    <w:rsid w:val="006124CA"/>
    <w:rsid w:val="006124D7"/>
    <w:rsid w:val="0061654D"/>
    <w:rsid w:val="00621E48"/>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4515"/>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3EED"/>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1D6"/>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2E0C"/>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272"/>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AF7"/>
    <w:rsid w:val="00FB4CF7"/>
    <w:rsid w:val="00FB4EA8"/>
    <w:rsid w:val="00FB50FB"/>
    <w:rsid w:val="00FB52D4"/>
    <w:rsid w:val="00FB7B17"/>
    <w:rsid w:val="00FC0538"/>
    <w:rsid w:val="00FC2FFE"/>
    <w:rsid w:val="00FC30BA"/>
    <w:rsid w:val="00FC49C4"/>
    <w:rsid w:val="00FD6952"/>
    <w:rsid w:val="00FD7313"/>
    <w:rsid w:val="00FD7636"/>
    <w:rsid w:val="00FE0231"/>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C6F8-ECD8-40A0-B966-FDCB73AB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9026</TotalTime>
  <Pages>36</Pages>
  <Words>13182</Words>
  <Characters>75138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359</cp:revision>
  <cp:lastPrinted>2018-10-22T05:43:00Z</cp:lastPrinted>
  <dcterms:created xsi:type="dcterms:W3CDTF">2015-03-30T09:50:00Z</dcterms:created>
  <dcterms:modified xsi:type="dcterms:W3CDTF">2018-11-10T09:32:00Z</dcterms:modified>
</cp:coreProperties>
</file>