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 xml:space="preserve">устройству </w:t>
      </w:r>
      <w:r w:rsidR="00E05E7F">
        <w:rPr>
          <w:sz w:val="28"/>
          <w:szCs w:val="28"/>
        </w:rPr>
        <w:t>тротуара по ул.Вавилова (от ул.Менделеева до ул.Песчаная) 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384CFC">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w:t>
            </w:r>
            <w:r w:rsidR="00951D4C" w:rsidRPr="00E05E7F">
              <w:rPr>
                <w:sz w:val="22"/>
                <w:szCs w:val="22"/>
              </w:rPr>
              <w:t>нимательства и социально ориентированных некоммерческих организаций на право заключения муниципального контракта</w:t>
            </w:r>
            <w:r w:rsidR="00261A60" w:rsidRPr="00E05E7F">
              <w:rPr>
                <w:sz w:val="22"/>
                <w:szCs w:val="22"/>
              </w:rPr>
              <w:t xml:space="preserve"> </w:t>
            </w:r>
            <w:r w:rsidR="00967EB9" w:rsidRPr="00E05E7F">
              <w:rPr>
                <w:sz w:val="22"/>
                <w:szCs w:val="22"/>
              </w:rPr>
              <w:t xml:space="preserve">на </w:t>
            </w:r>
            <w:r w:rsidR="00E05E7F" w:rsidRPr="00E05E7F">
              <w:rPr>
                <w:sz w:val="22"/>
                <w:szCs w:val="22"/>
              </w:rPr>
              <w:t>выполнение работ по устройству тротуара по ул.Вавилова (от ул.Менделеева до ул.Песчаная) в городе Югорске</w:t>
            </w:r>
            <w:r w:rsidR="00E05E7F">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E9625B"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w:t>
            </w:r>
            <w:r w:rsidR="00B76597">
              <w:rPr>
                <w:sz w:val="22"/>
                <w:szCs w:val="22"/>
              </w:rPr>
              <w:t>о</w:t>
            </w:r>
            <w:r w:rsidRPr="005D3249">
              <w:rPr>
                <w:sz w:val="22"/>
                <w:szCs w:val="22"/>
              </w:rPr>
              <w:t xml:space="preserve">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E05E7F">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r w:rsidR="00A01749" w:rsidRPr="00B202AD">
              <w:rPr>
                <w:color w:val="000000"/>
                <w:sz w:val="22"/>
                <w:szCs w:val="22"/>
              </w:rPr>
              <w:t>Югорск,</w:t>
            </w:r>
            <w:r w:rsidR="00261A60" w:rsidRPr="00B202AD">
              <w:rPr>
                <w:color w:val="000000"/>
                <w:sz w:val="22"/>
                <w:szCs w:val="22"/>
              </w:rPr>
              <w:t xml:space="preserve"> </w:t>
            </w:r>
            <w:r w:rsidR="004B0E34" w:rsidRPr="00B202AD">
              <w:rPr>
                <w:color w:val="000000"/>
                <w:sz w:val="22"/>
                <w:szCs w:val="22"/>
              </w:rPr>
              <w:t>ул.</w:t>
            </w:r>
            <w:r w:rsidR="00E05E7F" w:rsidRPr="00B76597">
              <w:rPr>
                <w:color w:val="000000"/>
                <w:sz w:val="22"/>
                <w:szCs w:val="22"/>
              </w:rPr>
              <w:t>Вавилова</w:t>
            </w:r>
            <w:r w:rsidR="00B76597" w:rsidRPr="00B76597">
              <w:rPr>
                <w:color w:val="000000"/>
                <w:sz w:val="22"/>
                <w:szCs w:val="22"/>
              </w:rPr>
              <w:t xml:space="preserve"> </w:t>
            </w:r>
            <w:r w:rsidR="00B76597" w:rsidRPr="00B76597">
              <w:rPr>
                <w:color w:val="000000" w:themeColor="text1"/>
                <w:sz w:val="22"/>
                <w:szCs w:val="22"/>
              </w:rPr>
              <w:t>(от ул.Менделеева до ул.Песчаная)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r w:rsidR="00A956DC" w:rsidRPr="0004090A">
              <w:rPr>
                <w:color w:val="000000"/>
                <w:sz w:val="22"/>
                <w:szCs w:val="22"/>
              </w:rPr>
              <w:t xml:space="preserve">с даты заключения муниципального контракта; </w:t>
            </w:r>
          </w:p>
          <w:p w:rsidR="000348C8" w:rsidRPr="005D3249" w:rsidRDefault="007D237E" w:rsidP="00E05E7F">
            <w:pPr>
              <w:autoSpaceDE w:val="0"/>
              <w:autoSpaceDN w:val="0"/>
              <w:adjustRightInd w:val="0"/>
              <w:spacing w:after="0"/>
              <w:rPr>
                <w:sz w:val="22"/>
                <w:szCs w:val="22"/>
              </w:rPr>
            </w:pPr>
            <w:r w:rsidRPr="0004090A">
              <w:rPr>
                <w:color w:val="000000"/>
                <w:sz w:val="22"/>
                <w:szCs w:val="22"/>
              </w:rPr>
              <w:t xml:space="preserve">- окончание: </w:t>
            </w:r>
            <w:r w:rsidR="00E05E7F">
              <w:rPr>
                <w:color w:val="000000"/>
                <w:sz w:val="22"/>
                <w:szCs w:val="22"/>
              </w:rPr>
              <w:t>30</w:t>
            </w:r>
            <w:r w:rsidR="003B18D5">
              <w:rPr>
                <w:color w:val="000000"/>
                <w:sz w:val="22"/>
                <w:szCs w:val="22"/>
              </w:rPr>
              <w:t xml:space="preserve"> </w:t>
            </w:r>
            <w:r w:rsidR="00E05E7F">
              <w:rPr>
                <w:color w:val="000000"/>
                <w:sz w:val="22"/>
                <w:szCs w:val="22"/>
              </w:rPr>
              <w:t>августа</w:t>
            </w:r>
            <w:r w:rsidR="00967EB9">
              <w:rPr>
                <w:color w:val="000000"/>
                <w:sz w:val="22"/>
                <w:szCs w:val="22"/>
              </w:rPr>
              <w:t xml:space="preserve"> 2016 года</w:t>
            </w:r>
            <w:r w:rsidR="003B18D5">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384CFC" w:rsidRDefault="00E05E7F" w:rsidP="00261A60">
            <w:pPr>
              <w:pStyle w:val="af4"/>
              <w:spacing w:after="0"/>
              <w:ind w:left="0"/>
              <w:rPr>
                <w:bCs/>
                <w:snapToGrid w:val="0"/>
                <w:sz w:val="22"/>
                <w:szCs w:val="22"/>
              </w:rPr>
            </w:pPr>
            <w:r>
              <w:rPr>
                <w:sz w:val="22"/>
                <w:szCs w:val="22"/>
              </w:rPr>
              <w:t xml:space="preserve">468 263,44 </w:t>
            </w:r>
            <w:r w:rsidR="00384CFC" w:rsidRPr="0076537F">
              <w:rPr>
                <w:sz w:val="22"/>
                <w:szCs w:val="22"/>
              </w:rPr>
              <w:t>рубл</w:t>
            </w:r>
            <w:r>
              <w:rPr>
                <w:sz w:val="22"/>
                <w:szCs w:val="22"/>
              </w:rPr>
              <w:t>я</w:t>
            </w:r>
            <w:r w:rsidR="00384CFC" w:rsidRPr="0076537F">
              <w:rPr>
                <w:sz w:val="22"/>
                <w:szCs w:val="22"/>
              </w:rPr>
              <w:t xml:space="preserve"> (</w:t>
            </w:r>
            <w:r>
              <w:rPr>
                <w:sz w:val="22"/>
                <w:szCs w:val="22"/>
              </w:rPr>
              <w:t>четыреста шестьдесят восемь тысяч двести шестьдесят три рубля 44 копейки</w:t>
            </w:r>
            <w:r w:rsidR="00384CFC" w:rsidRPr="0076537F">
              <w:rPr>
                <w:bCs/>
                <w:snapToGrid w:val="0"/>
                <w:sz w:val="22"/>
                <w:szCs w:val="22"/>
              </w:rPr>
              <w:t>)</w:t>
            </w:r>
            <w:r w:rsidR="00384CFC">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885C6D">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w:t>
            </w:r>
            <w:r w:rsidR="00885C6D">
              <w:rPr>
                <w:sz w:val="22"/>
                <w:szCs w:val="22"/>
              </w:rPr>
              <w:t>,</w:t>
            </w:r>
            <w:r w:rsidRPr="003B18D5">
              <w:rPr>
                <w:sz w:val="22"/>
                <w:szCs w:val="22"/>
              </w:rPr>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 xml:space="preserve">В настоящем электронном аукционе, за исключением случая </w:t>
            </w:r>
            <w:r w:rsidRPr="008B0349">
              <w:rPr>
                <w:rFonts w:cs="Arial"/>
                <w:color w:val="000000"/>
                <w:kern w:val="1"/>
                <w:sz w:val="22"/>
                <w:szCs w:val="22"/>
                <w:lang w:eastAsia="ar-SA"/>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E9625B">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5D3249">
              <w:rPr>
                <w:sz w:val="22"/>
                <w:szCs w:val="22"/>
              </w:rPr>
              <w:lastRenderedPageBreak/>
              <w:t>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соответствии с ч.2-4 ст. </w:t>
            </w:r>
            <w:r w:rsidRPr="005D3249">
              <w:rPr>
                <w:sz w:val="22"/>
                <w:szCs w:val="22"/>
              </w:rPr>
              <w:lastRenderedPageBreak/>
              <w:t>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615C7B">
              <w:rPr>
                <w:color w:val="000000" w:themeColor="text1"/>
                <w:sz w:val="22"/>
                <w:szCs w:val="22"/>
              </w:rPr>
              <w:t>«</w:t>
            </w:r>
            <w:r w:rsidR="00615C7B" w:rsidRPr="00615C7B">
              <w:rPr>
                <w:color w:val="000000" w:themeColor="text1"/>
                <w:sz w:val="22"/>
                <w:szCs w:val="22"/>
              </w:rPr>
              <w:t>2</w:t>
            </w:r>
            <w:r w:rsidR="00E05E7F">
              <w:rPr>
                <w:color w:val="000000" w:themeColor="text1"/>
                <w:sz w:val="22"/>
                <w:szCs w:val="22"/>
              </w:rPr>
              <w:t>7</w:t>
            </w:r>
            <w:r w:rsidRPr="00615C7B">
              <w:rPr>
                <w:color w:val="000000" w:themeColor="text1"/>
                <w:sz w:val="22"/>
                <w:szCs w:val="22"/>
              </w:rPr>
              <w:t>» </w:t>
            </w:r>
            <w:r w:rsidR="001E6464" w:rsidRPr="00615C7B">
              <w:rPr>
                <w:color w:val="000000" w:themeColor="text1"/>
                <w:sz w:val="22"/>
                <w:szCs w:val="22"/>
              </w:rPr>
              <w:t>июня</w:t>
            </w:r>
            <w:r w:rsidR="00A17AA4" w:rsidRPr="00615C7B">
              <w:rPr>
                <w:color w:val="000000" w:themeColor="text1"/>
                <w:sz w:val="22"/>
                <w:szCs w:val="22"/>
              </w:rPr>
              <w:t xml:space="preserve"> </w:t>
            </w:r>
            <w:r w:rsidR="003315EE" w:rsidRPr="00615C7B">
              <w:rPr>
                <w:color w:val="000000" w:themeColor="text1"/>
                <w:sz w:val="22"/>
                <w:szCs w:val="22"/>
              </w:rPr>
              <w:t xml:space="preserve"> </w:t>
            </w:r>
            <w:r w:rsidR="00D32B82" w:rsidRPr="00615C7B">
              <w:rPr>
                <w:color w:val="000000" w:themeColor="text1"/>
                <w:sz w:val="22"/>
                <w:szCs w:val="22"/>
              </w:rPr>
              <w:t>201</w:t>
            </w:r>
            <w:r w:rsidR="00470D4A" w:rsidRPr="00615C7B">
              <w:rPr>
                <w:color w:val="000000" w:themeColor="text1"/>
                <w:sz w:val="22"/>
                <w:szCs w:val="22"/>
              </w:rPr>
              <w:t>6</w:t>
            </w:r>
            <w:r w:rsidRPr="00615C7B">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w:t>
            </w:r>
            <w:r w:rsidR="00C7092B" w:rsidRPr="00615C7B">
              <w:rPr>
                <w:color w:val="000000" w:themeColor="text1"/>
                <w:sz w:val="22"/>
                <w:szCs w:val="22"/>
              </w:rPr>
              <w:t>аукционе «</w:t>
            </w:r>
            <w:r w:rsidR="00E05E7F">
              <w:rPr>
                <w:color w:val="000000" w:themeColor="text1"/>
                <w:sz w:val="22"/>
                <w:szCs w:val="22"/>
              </w:rPr>
              <w:t>03</w:t>
            </w:r>
            <w:r w:rsidRPr="00615C7B">
              <w:rPr>
                <w:color w:val="000000" w:themeColor="text1"/>
                <w:sz w:val="22"/>
                <w:szCs w:val="22"/>
              </w:rPr>
              <w:t>» </w:t>
            </w:r>
            <w:r w:rsidR="00E05E7F">
              <w:rPr>
                <w:color w:val="000000" w:themeColor="text1"/>
                <w:sz w:val="22"/>
                <w:szCs w:val="22"/>
              </w:rPr>
              <w:t>июл</w:t>
            </w:r>
            <w:r w:rsidR="001E6464" w:rsidRPr="00615C7B">
              <w:rPr>
                <w:color w:val="000000" w:themeColor="text1"/>
                <w:sz w:val="22"/>
                <w:szCs w:val="22"/>
              </w:rPr>
              <w:t>я</w:t>
            </w:r>
            <w:r w:rsidR="00104000" w:rsidRPr="00615C7B">
              <w:rPr>
                <w:color w:val="000000" w:themeColor="text1"/>
                <w:sz w:val="22"/>
                <w:szCs w:val="22"/>
              </w:rPr>
              <w:t xml:space="preserve"> </w:t>
            </w:r>
            <w:r w:rsidR="00D634E3" w:rsidRPr="00615C7B">
              <w:rPr>
                <w:color w:val="000000" w:themeColor="text1"/>
                <w:sz w:val="22"/>
                <w:szCs w:val="22"/>
              </w:rPr>
              <w:t>201</w:t>
            </w:r>
            <w:r w:rsidR="00E3291E" w:rsidRPr="00615C7B">
              <w:rPr>
                <w:color w:val="000000" w:themeColor="text1"/>
                <w:sz w:val="22"/>
                <w:szCs w:val="22"/>
              </w:rPr>
              <w:t>6</w:t>
            </w:r>
            <w:r w:rsidRPr="00615C7B">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E05E7F">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615C7B">
              <w:rPr>
                <w:color w:val="000000" w:themeColor="text1"/>
                <w:sz w:val="22"/>
                <w:szCs w:val="22"/>
              </w:rPr>
              <w:t>минут «</w:t>
            </w:r>
            <w:r w:rsidR="00E05E7F">
              <w:rPr>
                <w:color w:val="000000" w:themeColor="text1"/>
                <w:sz w:val="22"/>
                <w:szCs w:val="22"/>
              </w:rPr>
              <w:t>05</w:t>
            </w:r>
            <w:r w:rsidRPr="00615C7B">
              <w:rPr>
                <w:color w:val="000000" w:themeColor="text1"/>
                <w:sz w:val="22"/>
                <w:szCs w:val="22"/>
              </w:rPr>
              <w:t>»</w:t>
            </w:r>
            <w:r w:rsidR="00E05E7F">
              <w:rPr>
                <w:color w:val="000000" w:themeColor="text1"/>
                <w:sz w:val="22"/>
                <w:szCs w:val="22"/>
              </w:rPr>
              <w:t>июл</w:t>
            </w:r>
            <w:r w:rsidR="001E6464" w:rsidRPr="00615C7B">
              <w:rPr>
                <w:color w:val="000000" w:themeColor="text1"/>
                <w:sz w:val="22"/>
                <w:szCs w:val="22"/>
              </w:rPr>
              <w:t xml:space="preserve">я </w:t>
            </w:r>
            <w:r w:rsidR="00D634E3" w:rsidRPr="00615C7B">
              <w:rPr>
                <w:color w:val="000000" w:themeColor="text1"/>
                <w:sz w:val="22"/>
                <w:szCs w:val="22"/>
              </w:rPr>
              <w:t>201</w:t>
            </w:r>
            <w:r w:rsidR="00AD484A" w:rsidRPr="00615C7B">
              <w:rPr>
                <w:color w:val="000000" w:themeColor="text1"/>
                <w:sz w:val="22"/>
                <w:szCs w:val="22"/>
              </w:rPr>
              <w:t>6</w:t>
            </w:r>
            <w:r w:rsidRPr="00615C7B">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E05E7F">
            <w:pPr>
              <w:spacing w:after="0"/>
              <w:rPr>
                <w:color w:val="FF0000"/>
                <w:sz w:val="22"/>
                <w:szCs w:val="22"/>
              </w:rPr>
            </w:pPr>
            <w:r w:rsidRPr="00615C7B">
              <w:rPr>
                <w:color w:val="000000" w:themeColor="text1"/>
                <w:sz w:val="22"/>
                <w:szCs w:val="22"/>
              </w:rPr>
              <w:t>«</w:t>
            </w:r>
            <w:r w:rsidR="00E05E7F">
              <w:rPr>
                <w:color w:val="000000" w:themeColor="text1"/>
                <w:sz w:val="22"/>
                <w:szCs w:val="22"/>
              </w:rPr>
              <w:t>07</w:t>
            </w:r>
            <w:r w:rsidR="005D3249" w:rsidRPr="00615C7B">
              <w:rPr>
                <w:color w:val="000000" w:themeColor="text1"/>
                <w:sz w:val="22"/>
                <w:szCs w:val="22"/>
              </w:rPr>
              <w:t>»</w:t>
            </w:r>
            <w:r w:rsidR="00D32B82" w:rsidRPr="00615C7B">
              <w:rPr>
                <w:color w:val="000000" w:themeColor="text1"/>
                <w:sz w:val="22"/>
                <w:szCs w:val="22"/>
              </w:rPr>
              <w:t xml:space="preserve"> </w:t>
            </w:r>
            <w:r w:rsidR="00E05E7F">
              <w:rPr>
                <w:color w:val="000000" w:themeColor="text1"/>
                <w:sz w:val="22"/>
                <w:szCs w:val="22"/>
              </w:rPr>
              <w:t>июл</w:t>
            </w:r>
            <w:r w:rsidR="001E6464" w:rsidRPr="00615C7B">
              <w:rPr>
                <w:color w:val="000000" w:themeColor="text1"/>
                <w:sz w:val="22"/>
                <w:szCs w:val="22"/>
              </w:rPr>
              <w:t>я</w:t>
            </w:r>
            <w:r w:rsidR="00D634E3" w:rsidRPr="00615C7B">
              <w:rPr>
                <w:color w:val="000000" w:themeColor="text1"/>
                <w:sz w:val="22"/>
                <w:szCs w:val="22"/>
              </w:rPr>
              <w:t xml:space="preserve"> 201</w:t>
            </w:r>
            <w:r w:rsidR="00AD484A" w:rsidRPr="00615C7B">
              <w:rPr>
                <w:color w:val="000000" w:themeColor="text1"/>
                <w:sz w:val="22"/>
                <w:szCs w:val="22"/>
              </w:rPr>
              <w:t>6</w:t>
            </w:r>
            <w:r w:rsidR="00A956DC" w:rsidRPr="00615C7B">
              <w:rPr>
                <w:color w:val="000000" w:themeColor="text1"/>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E6464" w:rsidRDefault="00261A60" w:rsidP="00E05E7F">
            <w:pPr>
              <w:spacing w:after="0"/>
              <w:rPr>
                <w:color w:val="FF0000"/>
                <w:sz w:val="22"/>
                <w:szCs w:val="22"/>
              </w:rPr>
            </w:pPr>
            <w:r w:rsidRPr="00615C7B">
              <w:rPr>
                <w:color w:val="000000" w:themeColor="text1"/>
                <w:sz w:val="22"/>
                <w:szCs w:val="22"/>
              </w:rPr>
              <w:t xml:space="preserve"> «</w:t>
            </w:r>
            <w:r w:rsidR="00E05E7F">
              <w:rPr>
                <w:color w:val="000000" w:themeColor="text1"/>
                <w:sz w:val="22"/>
                <w:szCs w:val="22"/>
              </w:rPr>
              <w:t>11</w:t>
            </w:r>
            <w:r w:rsidR="00A956DC" w:rsidRPr="00615C7B">
              <w:rPr>
                <w:color w:val="000000" w:themeColor="text1"/>
                <w:sz w:val="22"/>
                <w:szCs w:val="22"/>
              </w:rPr>
              <w:t>»</w:t>
            </w:r>
            <w:r w:rsidR="00D32B82" w:rsidRPr="00615C7B">
              <w:rPr>
                <w:color w:val="000000" w:themeColor="text1"/>
                <w:sz w:val="22"/>
                <w:szCs w:val="22"/>
              </w:rPr>
              <w:t xml:space="preserve"> </w:t>
            </w:r>
            <w:r w:rsidR="00615C7B" w:rsidRPr="00615C7B">
              <w:rPr>
                <w:color w:val="000000" w:themeColor="text1"/>
                <w:sz w:val="22"/>
                <w:szCs w:val="22"/>
              </w:rPr>
              <w:t>июл</w:t>
            </w:r>
            <w:r w:rsidR="001E6464" w:rsidRPr="00615C7B">
              <w:rPr>
                <w:color w:val="000000" w:themeColor="text1"/>
                <w:sz w:val="22"/>
                <w:szCs w:val="22"/>
              </w:rPr>
              <w:t xml:space="preserve">я </w:t>
            </w:r>
            <w:r w:rsidR="00D634E3" w:rsidRPr="00615C7B">
              <w:rPr>
                <w:color w:val="000000" w:themeColor="text1"/>
                <w:sz w:val="22"/>
                <w:szCs w:val="22"/>
              </w:rPr>
              <w:t>201</w:t>
            </w:r>
            <w:r w:rsidR="00E3291E" w:rsidRPr="00615C7B">
              <w:rPr>
                <w:color w:val="000000" w:themeColor="text1"/>
                <w:sz w:val="22"/>
                <w:szCs w:val="22"/>
              </w:rPr>
              <w:t>6</w:t>
            </w:r>
            <w:r w:rsidR="00A956DC" w:rsidRPr="00615C7B">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w:t>
            </w:r>
            <w:r>
              <w:rPr>
                <w:sz w:val="22"/>
                <w:szCs w:val="22"/>
              </w:rPr>
              <w:lastRenderedPageBreak/>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1A5F3B" w:rsidRDefault="005D3249" w:rsidP="005D3249">
            <w:pPr>
              <w:widowControl w:val="0"/>
              <w:autoSpaceDE w:val="0"/>
              <w:autoSpaceDN w:val="0"/>
              <w:adjustRightInd w:val="0"/>
              <w:spacing w:after="0"/>
              <w:rPr>
                <w:color w:val="000000" w:themeColor="text1"/>
                <w:sz w:val="22"/>
                <w:szCs w:val="22"/>
              </w:rPr>
            </w:pPr>
            <w:r w:rsidRPr="001A5F3B">
              <w:rPr>
                <w:color w:val="000000" w:themeColor="text1"/>
                <w:sz w:val="22"/>
                <w:szCs w:val="22"/>
              </w:rPr>
              <w:t>2) документы, подтверждающие соответствие участника аукциона следующим требованиям:</w:t>
            </w:r>
          </w:p>
          <w:p w:rsidR="00D32B82" w:rsidRPr="001A5F3B" w:rsidRDefault="005D3249" w:rsidP="00D32B82">
            <w:pPr>
              <w:widowControl w:val="0"/>
              <w:autoSpaceDE w:val="0"/>
              <w:autoSpaceDN w:val="0"/>
              <w:adjustRightInd w:val="0"/>
              <w:spacing w:after="0"/>
              <w:rPr>
                <w:color w:val="000000" w:themeColor="text1"/>
                <w:sz w:val="22"/>
                <w:szCs w:val="22"/>
              </w:rPr>
            </w:pPr>
            <w:r w:rsidRPr="001A5F3B">
              <w:rPr>
                <w:color w:val="000000" w:themeColor="text1"/>
                <w:sz w:val="22"/>
                <w:szCs w:val="22"/>
              </w:rPr>
              <w:t xml:space="preserve">а) соответствие требованиям, </w:t>
            </w:r>
            <w:r w:rsidRPr="001A5F3B">
              <w:rPr>
                <w:bCs/>
                <w:color w:val="000000" w:themeColor="text1"/>
                <w:sz w:val="22"/>
                <w:szCs w:val="22"/>
              </w:rPr>
              <w:t>установленным</w:t>
            </w:r>
            <w:r w:rsidRPr="001A5F3B">
              <w:rPr>
                <w:color w:val="000000" w:themeColor="text1"/>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1A5F3B">
              <w:rPr>
                <w:color w:val="000000" w:themeColor="text1"/>
                <w:sz w:val="22"/>
                <w:szCs w:val="22"/>
              </w:rPr>
              <w:t xml:space="preserve"> </w:t>
            </w:r>
            <w:r w:rsidR="007443BD" w:rsidRPr="001A5F3B">
              <w:rPr>
                <w:color w:val="000000" w:themeColor="text1"/>
                <w:sz w:val="22"/>
                <w:szCs w:val="22"/>
              </w:rPr>
              <w:t>установлено:</w:t>
            </w:r>
          </w:p>
          <w:p w:rsidR="00E50D7D" w:rsidRPr="001A5F3B" w:rsidRDefault="00E50D7D" w:rsidP="00E50D7D">
            <w:pPr>
              <w:autoSpaceDE w:val="0"/>
              <w:autoSpaceDN w:val="0"/>
              <w:adjustRightInd w:val="0"/>
              <w:spacing w:after="0"/>
              <w:rPr>
                <w:color w:val="000000" w:themeColor="text1"/>
                <w:sz w:val="22"/>
                <w:szCs w:val="22"/>
              </w:rPr>
            </w:pPr>
            <w:r w:rsidRPr="001A5F3B">
              <w:rPr>
                <w:color w:val="000000" w:themeColor="text1"/>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50D7D" w:rsidRPr="001A5F3B" w:rsidRDefault="00E50D7D" w:rsidP="00E50D7D">
            <w:pPr>
              <w:suppressAutoHyphens/>
              <w:spacing w:after="0"/>
              <w:ind w:left="51"/>
              <w:rPr>
                <w:color w:val="000000" w:themeColor="text1"/>
                <w:sz w:val="22"/>
                <w:szCs w:val="22"/>
              </w:rPr>
            </w:pPr>
            <w:r w:rsidRPr="001A5F3B">
              <w:rPr>
                <w:color w:val="000000" w:themeColor="text1"/>
                <w:sz w:val="22"/>
                <w:szCs w:val="22"/>
              </w:rPr>
              <w:t>25.2.Устройство оснований автомобильных дорог</w:t>
            </w:r>
          </w:p>
          <w:p w:rsidR="00E50D7D" w:rsidRPr="001A5F3B" w:rsidRDefault="00E50D7D" w:rsidP="00E50D7D">
            <w:pPr>
              <w:widowControl w:val="0"/>
              <w:autoSpaceDE w:val="0"/>
              <w:autoSpaceDN w:val="0"/>
              <w:adjustRightInd w:val="0"/>
              <w:spacing w:after="0"/>
              <w:ind w:left="51"/>
              <w:rPr>
                <w:color w:val="000000" w:themeColor="text1"/>
                <w:sz w:val="22"/>
                <w:szCs w:val="22"/>
              </w:rPr>
            </w:pPr>
            <w:r w:rsidRPr="001A5F3B">
              <w:rPr>
                <w:color w:val="000000" w:themeColor="text1"/>
                <w:sz w:val="22"/>
                <w:szCs w:val="22"/>
              </w:rPr>
              <w:t xml:space="preserve">25.7. Устройство защитных ограждений и элементов обустройства автомобильных дорог </w:t>
            </w:r>
          </w:p>
          <w:p w:rsidR="00E50D7D" w:rsidRPr="001A5F3B" w:rsidRDefault="00E50D7D" w:rsidP="00E50D7D">
            <w:pPr>
              <w:autoSpaceDE w:val="0"/>
              <w:autoSpaceDN w:val="0"/>
              <w:adjustRightInd w:val="0"/>
              <w:spacing w:after="0"/>
              <w:ind w:left="34"/>
              <w:rPr>
                <w:color w:val="000000" w:themeColor="text1"/>
                <w:sz w:val="22"/>
                <w:szCs w:val="22"/>
              </w:rPr>
            </w:pPr>
            <w:r w:rsidRPr="001A5F3B">
              <w:rPr>
                <w:color w:val="000000" w:themeColor="text1"/>
                <w:sz w:val="22"/>
                <w:szCs w:val="22"/>
              </w:rPr>
              <w:t>25.8. Устройство разметки проезжей части автомобильных дорог</w:t>
            </w:r>
          </w:p>
          <w:p w:rsidR="00E50D7D" w:rsidRPr="001A5F3B" w:rsidRDefault="00E50D7D" w:rsidP="00E50D7D">
            <w:pPr>
              <w:autoSpaceDE w:val="0"/>
              <w:autoSpaceDN w:val="0"/>
              <w:adjustRightInd w:val="0"/>
              <w:ind w:left="34"/>
              <w:rPr>
                <w:color w:val="000000" w:themeColor="text1"/>
                <w:sz w:val="22"/>
                <w:szCs w:val="22"/>
              </w:rPr>
            </w:pPr>
            <w:r w:rsidRPr="001A5F3B">
              <w:rPr>
                <w:color w:val="000000" w:themeColor="text1"/>
                <w:sz w:val="22"/>
                <w:szCs w:val="22"/>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отсутствие у участника закупки недоимки по налогам, сборам, задолженности по иным обязательным платежам в бюджеты </w:t>
            </w:r>
            <w:r w:rsidRPr="00902FA5">
              <w:rPr>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902FA5">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w:t>
            </w:r>
            <w:r w:rsidRPr="00902FA5">
              <w:rPr>
                <w:sz w:val="22"/>
                <w:szCs w:val="22"/>
              </w:rPr>
              <w:lastRenderedPageBreak/>
              <w:t xml:space="preserve">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5" w:name="_Ref119430333"/>
            <w:r w:rsidRPr="005D3249">
              <w:rPr>
                <w:sz w:val="22"/>
                <w:szCs w:val="22"/>
              </w:rPr>
              <w:t xml:space="preserve"> </w:t>
            </w:r>
            <w:bookmarkStart w:id="16" w:name="_Ref119429817"/>
            <w:bookmarkStart w:id="17" w:name="_Toc123405470"/>
            <w:bookmarkEnd w:id="15"/>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5D3249" w:rsidRDefault="00A956DC" w:rsidP="00FD0506">
            <w:pPr>
              <w:autoSpaceDE w:val="0"/>
              <w:autoSpaceDN w:val="0"/>
              <w:adjustRightInd w:val="0"/>
              <w:spacing w:after="0"/>
              <w:rPr>
                <w:sz w:val="22"/>
                <w:szCs w:val="22"/>
              </w:rPr>
            </w:pPr>
            <w:r w:rsidRPr="005D3249">
              <w:rPr>
                <w:sz w:val="22"/>
                <w:szCs w:val="22"/>
              </w:rPr>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lastRenderedPageBreak/>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E9625B">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E9625B" w:rsidRPr="00E9625B">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E9625B">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50D7D" w:rsidRDefault="00A956DC" w:rsidP="00E05E7F">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05E7F">
              <w:rPr>
                <w:sz w:val="22"/>
                <w:szCs w:val="22"/>
              </w:rPr>
              <w:t xml:space="preserve">4 682,63 </w:t>
            </w:r>
            <w:r w:rsidR="00F214E0" w:rsidRPr="00F214E0">
              <w:rPr>
                <w:sz w:val="22"/>
                <w:szCs w:val="22"/>
              </w:rPr>
              <w:t>рубл</w:t>
            </w:r>
            <w:r w:rsidR="00E05E7F">
              <w:rPr>
                <w:sz w:val="22"/>
                <w:szCs w:val="22"/>
              </w:rPr>
              <w:t>я</w:t>
            </w:r>
            <w:r w:rsidR="00F214E0" w:rsidRPr="00F214E0">
              <w:rPr>
                <w:sz w:val="22"/>
                <w:szCs w:val="22"/>
              </w:rPr>
              <w:t xml:space="preserve"> </w:t>
            </w:r>
            <w:r w:rsidR="00E50D7D" w:rsidRPr="001D02DE">
              <w:rPr>
                <w:sz w:val="22"/>
                <w:szCs w:val="22"/>
              </w:rPr>
              <w:t>(</w:t>
            </w:r>
            <w:r w:rsidR="00E05E7F">
              <w:rPr>
                <w:sz w:val="22"/>
                <w:szCs w:val="22"/>
              </w:rPr>
              <w:t>четыре тысячи шестьсот восемьдесят два рубля 63 копейки</w:t>
            </w:r>
            <w:r w:rsidR="00E50D7D" w:rsidRPr="001D02DE">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E50D7D"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05E7F">
              <w:rPr>
                <w:sz w:val="22"/>
                <w:szCs w:val="22"/>
              </w:rPr>
              <w:t>23 413,17 рублей</w:t>
            </w:r>
            <w:r w:rsidR="00423A78" w:rsidRPr="00423A78">
              <w:rPr>
                <w:sz w:val="22"/>
                <w:szCs w:val="22"/>
              </w:rPr>
              <w:t xml:space="preserve"> </w:t>
            </w:r>
            <w:r w:rsidR="00E50D7D" w:rsidRPr="0076537F">
              <w:rPr>
                <w:sz w:val="22"/>
                <w:szCs w:val="22"/>
              </w:rPr>
              <w:t>(</w:t>
            </w:r>
            <w:r w:rsidR="00E05E7F">
              <w:rPr>
                <w:sz w:val="22"/>
                <w:szCs w:val="22"/>
              </w:rPr>
              <w:t xml:space="preserve">двадцать три тысячи </w:t>
            </w:r>
            <w:r w:rsidR="00F162BB">
              <w:rPr>
                <w:sz w:val="22"/>
                <w:szCs w:val="22"/>
              </w:rPr>
              <w:t>четыреста тринадцать рублей 17 копеек</w:t>
            </w:r>
            <w:r w:rsidR="00E50D7D" w:rsidRPr="0076537F">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xml:space="preserve">, а </w:t>
            </w:r>
            <w:r w:rsidRPr="00B26BC0">
              <w:rPr>
                <w:sz w:val="22"/>
                <w:szCs w:val="22"/>
              </w:rPr>
              <w:lastRenderedPageBreak/>
              <w:t>также иным требованиям, установленным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w:t>
            </w:r>
            <w:r w:rsidRPr="00B26BC0">
              <w:rPr>
                <w:sz w:val="22"/>
                <w:szCs w:val="22"/>
              </w:rPr>
              <w:lastRenderedPageBreak/>
              <w:t>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w:t>
            </w:r>
            <w:r w:rsidRPr="00B26BC0">
              <w:rPr>
                <w:sz w:val="22"/>
                <w:szCs w:val="22"/>
              </w:rPr>
              <w:lastRenderedPageBreak/>
              <w:t>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 xml:space="preserve">либо причинам обеспечение исполнения обязательств по контракту перестало быть </w:t>
            </w:r>
            <w:r w:rsidRPr="00B26BC0">
              <w:rPr>
                <w:sz w:val="22"/>
                <w:szCs w:val="22"/>
              </w:rPr>
              <w:lastRenderedPageBreak/>
              <w:t>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515825">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F162BB" w:rsidRPr="00E05E7F">
              <w:rPr>
                <w:sz w:val="22"/>
                <w:szCs w:val="22"/>
              </w:rPr>
              <w:t>выполнение работ по устройству тротуара по ул.Вавилова (от ул.Менделеева до ул.Песчаная)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w:t>
            </w:r>
            <w:r w:rsidRPr="005D3249">
              <w:rPr>
                <w:sz w:val="22"/>
                <w:szCs w:val="22"/>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Односторонний отказ от исполнения контракта допускается в </w:t>
            </w:r>
            <w:r w:rsidRPr="005D3249">
              <w:rPr>
                <w:sz w:val="22"/>
                <w:szCs w:val="22"/>
              </w:rPr>
              <w:lastRenderedPageBreak/>
              <w:t>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9C47DC">
            <w:pPr>
              <w:autoSpaceDE w:val="0"/>
              <w:autoSpaceDN w:val="0"/>
              <w:adjustRightInd w:val="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9C47DC">
            <w:pPr>
              <w:autoSpaceDE w:val="0"/>
              <w:autoSpaceDN w:val="0"/>
              <w:adjustRightInd w:val="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9C47DC">
            <w:pPr>
              <w:autoSpaceDE w:val="0"/>
              <w:autoSpaceDN w:val="0"/>
              <w:adjustRightInd w:val="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w:t>
            </w:r>
            <w:r w:rsidRPr="007B1A3F">
              <w:rPr>
                <w:sz w:val="22"/>
                <w:szCs w:val="22"/>
              </w:rPr>
              <w:lastRenderedPageBreak/>
              <w:t xml:space="preserve">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9C47D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6" w:name="Par528"/>
            <w:bookmarkStart w:id="27" w:name="Par533"/>
            <w:bookmarkStart w:id="28" w:name="Par537"/>
            <w:bookmarkEnd w:id="26"/>
            <w:bookmarkEnd w:id="27"/>
            <w:bookmarkEnd w:id="28"/>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29" w:name="Par529"/>
            <w:bookmarkEnd w:id="29"/>
            <w:r w:rsidRPr="005D3249">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w:t>
            </w:r>
            <w:r w:rsidRPr="005D3249">
              <w:rPr>
                <w:rFonts w:ascii="Times New Roman" w:hAnsi="Times New Roman" w:cs="Times New Roman"/>
                <w:sz w:val="22"/>
                <w:szCs w:val="22"/>
              </w:rPr>
              <w:lastRenderedPageBreak/>
              <w:t>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5D3249">
              <w:rPr>
                <w:rFonts w:ascii="Times New Roman" w:hAnsi="Times New Roman" w:cs="Times New Roman"/>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0"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634632" w:rsidRDefault="00634632" w:rsidP="00FD0506">
      <w:pPr>
        <w:pStyle w:val="ConsPlusNormal"/>
        <w:widowControl/>
        <w:tabs>
          <w:tab w:val="left" w:pos="360"/>
        </w:tabs>
        <w:ind w:left="1080" w:firstLine="0"/>
        <w:jc w:val="center"/>
        <w:rPr>
          <w:rFonts w:ascii="Times New Roman" w:hAnsi="Times New Roman" w:cs="Times New Roman"/>
          <w:b/>
          <w:bCs/>
          <w:sz w:val="22"/>
          <w:szCs w:val="22"/>
        </w:rPr>
      </w:pPr>
    </w:p>
    <w:p w:rsidR="00634632" w:rsidRDefault="00634632"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1F63D7" w:rsidRDefault="001F63D7" w:rsidP="001F63D7">
      <w:pPr>
        <w:pStyle w:val="ConsPlusNormal"/>
        <w:widowControl/>
        <w:tabs>
          <w:tab w:val="left" w:pos="360"/>
        </w:tabs>
        <w:ind w:firstLine="0"/>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3C2F55" w:rsidRDefault="00D32B82" w:rsidP="00F162BB">
      <w:pPr>
        <w:suppressAutoHyphens/>
        <w:snapToGrid w:val="0"/>
        <w:spacing w:after="0"/>
        <w:jc w:val="center"/>
        <w:rPr>
          <w:sz w:val="22"/>
          <w:szCs w:val="22"/>
        </w:rPr>
      </w:pPr>
      <w:r w:rsidRPr="003E1B2A">
        <w:rPr>
          <w:b/>
          <w:kern w:val="2"/>
          <w:lang w:eastAsia="ar-SA"/>
        </w:rPr>
        <w:t>на</w:t>
      </w:r>
      <w:r w:rsidR="00261A60" w:rsidRPr="003E1B2A">
        <w:rPr>
          <w:b/>
        </w:rPr>
        <w:t xml:space="preserve"> </w:t>
      </w:r>
      <w:r w:rsidR="00F162BB" w:rsidRPr="00F162BB">
        <w:rPr>
          <w:b/>
          <w:color w:val="000000" w:themeColor="text1"/>
          <w:sz w:val="22"/>
          <w:szCs w:val="22"/>
        </w:rPr>
        <w:t>выполнение работ по устройству тротуара по ул.Вавилова (от ул.Менделеева до ул.Песчаная) в городе Югорске</w:t>
      </w:r>
    </w:p>
    <w:p w:rsidR="00F162BB" w:rsidRDefault="00F162BB" w:rsidP="00F162BB">
      <w:pPr>
        <w:suppressAutoHyphens/>
        <w:snapToGrid w:val="0"/>
        <w:spacing w:after="0"/>
        <w:jc w:val="center"/>
        <w:rPr>
          <w:b/>
          <w:bCs/>
          <w:color w:val="000000"/>
          <w:kern w:val="2"/>
          <w:u w:val="single"/>
          <w:lang w:eastAsia="ar-SA"/>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Югорск, ул.</w:t>
      </w:r>
      <w:r w:rsidR="00F162BB">
        <w:rPr>
          <w:color w:val="000000"/>
        </w:rPr>
        <w:t>Вавилова</w:t>
      </w:r>
      <w:r w:rsidR="006860B5">
        <w:rPr>
          <w:color w:val="000000"/>
        </w:rPr>
        <w:t xml:space="preserve"> </w:t>
      </w:r>
      <w:r w:rsidR="006860B5" w:rsidRPr="006860B5">
        <w:rPr>
          <w:color w:val="000000" w:themeColor="text1"/>
        </w:rPr>
        <w:t>(от ул.Менделеева до ул.Песчаная)</w:t>
      </w:r>
      <w:r w:rsidR="006860B5">
        <w:rPr>
          <w:color w:val="000000" w:themeColor="text1"/>
        </w:rPr>
        <w:t>.</w:t>
      </w:r>
      <w:bookmarkStart w:id="33" w:name="_GoBack"/>
      <w:bookmarkEnd w:id="33"/>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F162BB">
        <w:rPr>
          <w:color w:val="000000"/>
          <w:kern w:val="2"/>
          <w:lang w:eastAsia="ar-SA"/>
        </w:rPr>
        <w:t>30</w:t>
      </w:r>
      <w:r w:rsidR="00B341E5" w:rsidRPr="003E1B2A">
        <w:rPr>
          <w:color w:val="000000"/>
          <w:kern w:val="2"/>
          <w:lang w:eastAsia="ar-SA"/>
        </w:rPr>
        <w:t xml:space="preserve"> </w:t>
      </w:r>
      <w:r w:rsidR="00F162BB">
        <w:rPr>
          <w:color w:val="000000"/>
          <w:kern w:val="2"/>
          <w:lang w:eastAsia="ar-SA"/>
        </w:rPr>
        <w:t>августа</w:t>
      </w:r>
      <w:r w:rsidR="00480C80">
        <w:rPr>
          <w:color w:val="000000"/>
          <w:kern w:val="2"/>
          <w:lang w:eastAsia="ar-SA"/>
        </w:rPr>
        <w:t xml:space="preserve"> </w:t>
      </w:r>
      <w:r w:rsidR="001038C2" w:rsidRPr="003E1B2A">
        <w:rPr>
          <w:color w:val="000000"/>
          <w:kern w:val="2"/>
          <w:lang w:eastAsia="ar-SA"/>
        </w:rPr>
        <w:t>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w:t>
      </w:r>
      <w:r w:rsidR="00634632">
        <w:t>,</w:t>
      </w:r>
      <w:r w:rsidRPr="003E1B2A">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F162BB" w:rsidRDefault="00B01765" w:rsidP="00F162BB">
      <w:pPr>
        <w:suppressAutoHyphens/>
        <w:snapToGrid w:val="0"/>
        <w:spacing w:after="0"/>
        <w:jc w:val="center"/>
        <w:rPr>
          <w:b/>
          <w:color w:val="000000" w:themeColor="text1"/>
          <w:sz w:val="23"/>
          <w:szCs w:val="23"/>
        </w:rPr>
      </w:pPr>
      <w:r w:rsidRPr="00261A60">
        <w:rPr>
          <w:b/>
          <w:kern w:val="2"/>
          <w:lang w:eastAsia="ar-SA"/>
        </w:rPr>
        <w:t>на</w:t>
      </w:r>
      <w:r w:rsidRPr="00F162BB">
        <w:rPr>
          <w:b/>
          <w:color w:val="000000" w:themeColor="text1"/>
          <w:sz w:val="22"/>
          <w:szCs w:val="22"/>
        </w:rPr>
        <w:t xml:space="preserve"> </w:t>
      </w:r>
      <w:r w:rsidR="00F162BB" w:rsidRPr="00F162BB">
        <w:rPr>
          <w:b/>
          <w:color w:val="000000" w:themeColor="text1"/>
          <w:sz w:val="22"/>
          <w:szCs w:val="22"/>
        </w:rPr>
        <w:t>выполнение работ по устройству тротуара по ул.Вавилова (от ул.Менделеева до ул.Песчаная) в городе Югорске</w:t>
      </w:r>
      <w:r w:rsidR="00F162BB" w:rsidRPr="00F162BB">
        <w:rPr>
          <w:b/>
          <w:color w:val="000000" w:themeColor="text1"/>
          <w:sz w:val="23"/>
          <w:szCs w:val="23"/>
        </w:rPr>
        <w:t xml:space="preserve"> </w:t>
      </w:r>
    </w:p>
    <w:p w:rsidR="00F162BB" w:rsidRDefault="00F162BB" w:rsidP="00F162BB">
      <w:pPr>
        <w:suppressAutoHyphens/>
        <w:snapToGrid w:val="0"/>
        <w:spacing w:after="0"/>
        <w:jc w:val="center"/>
        <w:rPr>
          <w:b/>
          <w:sz w:val="23"/>
          <w:szCs w:val="23"/>
        </w:rPr>
      </w:pPr>
    </w:p>
    <w:p w:rsidR="00B01765" w:rsidRDefault="00B01765" w:rsidP="00F162BB">
      <w:pPr>
        <w:suppressAutoHyphens/>
        <w:snapToGrid w:val="0"/>
        <w:spacing w:after="0"/>
        <w:jc w:val="center"/>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sidR="00F162BB">
        <w:rPr>
          <w:b/>
          <w:sz w:val="23"/>
          <w:szCs w:val="23"/>
        </w:rPr>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D5052E"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587170" w:rsidRPr="00D5052E">
        <w:rPr>
          <w:sz w:val="23"/>
          <w:szCs w:val="23"/>
        </w:rPr>
        <w:t xml:space="preserve">по устройству </w:t>
      </w:r>
      <w:r w:rsidR="004C6AC3">
        <w:rPr>
          <w:sz w:val="23"/>
          <w:szCs w:val="23"/>
        </w:rPr>
        <w:t>тротуара по ул.Вавилова (от ул.Менделеева до ул.Песчаная) в городе Югорске</w:t>
      </w:r>
      <w:r w:rsidR="001153E8" w:rsidRPr="00D5052E">
        <w:rPr>
          <w:b/>
          <w:sz w:val="23"/>
          <w:szCs w:val="23"/>
        </w:rPr>
        <w:t xml:space="preserve"> </w:t>
      </w:r>
      <w:r w:rsidRPr="00D5052E">
        <w:rPr>
          <w:sz w:val="23"/>
          <w:szCs w:val="23"/>
        </w:rPr>
        <w:t>(далее Объект, работы), в соответствии с условиями настоящего контракта, техническим заданием документации об аукционе</w:t>
      </w:r>
      <w:r w:rsidRPr="00D5052E">
        <w:rPr>
          <w:bCs/>
          <w:sz w:val="23"/>
          <w:szCs w:val="23"/>
        </w:rPr>
        <w:t>.</w:t>
      </w:r>
    </w:p>
    <w:p w:rsidR="00587170" w:rsidRPr="00D5052E" w:rsidRDefault="00587170" w:rsidP="00587170">
      <w:pPr>
        <w:spacing w:after="0"/>
        <w:rPr>
          <w:sz w:val="23"/>
          <w:szCs w:val="23"/>
        </w:rPr>
      </w:pPr>
      <w:r w:rsidRPr="00D5052E">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D5052E" w:rsidRDefault="00B01765" w:rsidP="00B01765">
      <w:pPr>
        <w:tabs>
          <w:tab w:val="left" w:pos="780"/>
        </w:tabs>
        <w:spacing w:after="0"/>
        <w:rPr>
          <w:sz w:val="23"/>
          <w:szCs w:val="23"/>
        </w:rPr>
      </w:pPr>
      <w:r w:rsidRPr="00D5052E">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D5052E">
        <w:rPr>
          <w:sz w:val="23"/>
          <w:szCs w:val="23"/>
        </w:rPr>
        <w:tab/>
      </w:r>
    </w:p>
    <w:p w:rsidR="00B01765" w:rsidRPr="00D5052E" w:rsidRDefault="00B01765" w:rsidP="00B01765">
      <w:pPr>
        <w:tabs>
          <w:tab w:val="left" w:pos="780"/>
        </w:tabs>
        <w:spacing w:after="0"/>
        <w:rPr>
          <w:color w:val="000000"/>
          <w:sz w:val="23"/>
          <w:szCs w:val="23"/>
        </w:rPr>
      </w:pPr>
      <w:r w:rsidRPr="00D5052E">
        <w:rPr>
          <w:sz w:val="23"/>
          <w:szCs w:val="23"/>
        </w:rPr>
        <w:t xml:space="preserve">1.3. Место выполнения работ: Ханты-Мансийский автономный округ-Югра, г. </w:t>
      </w:r>
      <w:r w:rsidRPr="00D5052E">
        <w:rPr>
          <w:color w:val="000000"/>
          <w:sz w:val="23"/>
          <w:szCs w:val="23"/>
        </w:rPr>
        <w:t>Югорск, ул.</w:t>
      </w:r>
      <w:r w:rsidR="00F162BB">
        <w:rPr>
          <w:color w:val="000000"/>
          <w:sz w:val="23"/>
          <w:szCs w:val="23"/>
        </w:rPr>
        <w:t>Вавилова</w:t>
      </w:r>
      <w:r w:rsidR="00B733A3">
        <w:rPr>
          <w:color w:val="000000"/>
          <w:sz w:val="23"/>
          <w:szCs w:val="23"/>
        </w:rPr>
        <w:t xml:space="preserve"> </w:t>
      </w:r>
      <w:r w:rsidR="00B733A3" w:rsidRPr="00B733A3">
        <w:rPr>
          <w:color w:val="000000" w:themeColor="text1"/>
          <w:sz w:val="23"/>
          <w:szCs w:val="23"/>
        </w:rPr>
        <w:t>(от ул.Менделеева до ул.Песчаная)</w:t>
      </w:r>
      <w:r w:rsidR="00B733A3">
        <w:rPr>
          <w:color w:val="000000" w:themeColor="text1"/>
          <w:sz w:val="23"/>
          <w:szCs w:val="23"/>
        </w:rPr>
        <w:t>.</w:t>
      </w:r>
    </w:p>
    <w:p w:rsidR="00B01765" w:rsidRPr="00D5052E" w:rsidRDefault="00B01765" w:rsidP="00B01765">
      <w:pPr>
        <w:tabs>
          <w:tab w:val="left" w:pos="780"/>
        </w:tabs>
        <w:spacing w:after="0"/>
        <w:rPr>
          <w:sz w:val="23"/>
          <w:szCs w:val="23"/>
        </w:rPr>
      </w:pPr>
      <w:r w:rsidRPr="00D5052E">
        <w:rPr>
          <w:sz w:val="23"/>
          <w:szCs w:val="23"/>
        </w:rPr>
        <w:t>1.4. Финансирование объекта осуществляется за счет средств бюджета города Югорска на 2016 год.</w:t>
      </w:r>
    </w:p>
    <w:p w:rsidR="00515825" w:rsidRPr="00515825" w:rsidRDefault="00B01765" w:rsidP="00B01765">
      <w:pPr>
        <w:tabs>
          <w:tab w:val="num" w:pos="567"/>
        </w:tabs>
        <w:autoSpaceDE w:val="0"/>
        <w:autoSpaceDN w:val="0"/>
        <w:adjustRightInd w:val="0"/>
        <w:spacing w:after="0"/>
        <w:outlineLvl w:val="0"/>
        <w:rPr>
          <w:sz w:val="22"/>
          <w:szCs w:val="22"/>
        </w:rPr>
      </w:pPr>
      <w:r w:rsidRPr="00D5052E">
        <w:rPr>
          <w:sz w:val="23"/>
          <w:szCs w:val="23"/>
        </w:rPr>
        <w:t xml:space="preserve">1.5. Размер обеспечения исполнения обязательств по контракту составляет: </w:t>
      </w:r>
      <w:r w:rsidR="00F162BB">
        <w:rPr>
          <w:sz w:val="22"/>
          <w:szCs w:val="22"/>
        </w:rPr>
        <w:t xml:space="preserve">23 413,17 </w:t>
      </w:r>
      <w:r w:rsidR="00515825" w:rsidRPr="00515825">
        <w:rPr>
          <w:sz w:val="22"/>
          <w:szCs w:val="22"/>
        </w:rPr>
        <w:t>рубл</w:t>
      </w:r>
      <w:r w:rsidR="00F162BB">
        <w:rPr>
          <w:sz w:val="22"/>
          <w:szCs w:val="22"/>
        </w:rPr>
        <w:t>ей</w:t>
      </w:r>
      <w:r w:rsidR="00515825" w:rsidRPr="00515825">
        <w:rPr>
          <w:sz w:val="22"/>
          <w:szCs w:val="22"/>
        </w:rPr>
        <w:t xml:space="preserve"> (</w:t>
      </w:r>
      <w:r w:rsidR="00F162BB">
        <w:rPr>
          <w:sz w:val="22"/>
          <w:szCs w:val="22"/>
        </w:rPr>
        <w:t>двадцать три тысячи четыреста тринадцать рублей 17 копеек</w:t>
      </w:r>
    </w:p>
    <w:p w:rsidR="00E72649" w:rsidRPr="00D5052E" w:rsidRDefault="00B01765" w:rsidP="00B01765">
      <w:pPr>
        <w:tabs>
          <w:tab w:val="num" w:pos="567"/>
        </w:tabs>
        <w:autoSpaceDE w:val="0"/>
        <w:autoSpaceDN w:val="0"/>
        <w:adjustRightInd w:val="0"/>
        <w:spacing w:after="0"/>
        <w:outlineLvl w:val="0"/>
        <w:rPr>
          <w:sz w:val="23"/>
          <w:szCs w:val="23"/>
        </w:rPr>
      </w:pPr>
      <w:r w:rsidRPr="00D5052E">
        <w:rPr>
          <w:sz w:val="23"/>
          <w:szCs w:val="23"/>
        </w:rPr>
        <w:t>1.6. Если начальная (максимальная) цена контракта составляет пятнадцать миллионов рублей и</w:t>
      </w:r>
      <w:r w:rsidRPr="00D5052E">
        <w:rPr>
          <w:i/>
          <w:sz w:val="23"/>
          <w:szCs w:val="23"/>
        </w:rPr>
        <w:t xml:space="preserve"> </w:t>
      </w:r>
      <w:r w:rsidRPr="00D5052E">
        <w:rPr>
          <w:sz w:val="23"/>
          <w:szCs w:val="23"/>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F162BB">
        <w:rPr>
          <w:sz w:val="23"/>
          <w:szCs w:val="23"/>
        </w:rPr>
        <w:t xml:space="preserve">35 119,76 </w:t>
      </w:r>
      <w:r w:rsidRPr="00D5052E">
        <w:rPr>
          <w:sz w:val="23"/>
          <w:szCs w:val="23"/>
        </w:rPr>
        <w:t>рубл</w:t>
      </w:r>
      <w:r w:rsidR="00587170" w:rsidRPr="00D5052E">
        <w:rPr>
          <w:sz w:val="23"/>
          <w:szCs w:val="23"/>
        </w:rPr>
        <w:t>ей</w:t>
      </w:r>
      <w:r w:rsidR="00CB7DB4" w:rsidRPr="00D5052E">
        <w:rPr>
          <w:sz w:val="23"/>
          <w:szCs w:val="23"/>
        </w:rPr>
        <w:t xml:space="preserve"> </w:t>
      </w:r>
      <w:r w:rsidRPr="00D5052E">
        <w:rPr>
          <w:sz w:val="23"/>
          <w:szCs w:val="23"/>
        </w:rPr>
        <w:t>(</w:t>
      </w:r>
      <w:r w:rsidR="00F162BB">
        <w:rPr>
          <w:sz w:val="23"/>
          <w:szCs w:val="23"/>
        </w:rPr>
        <w:t>тридцать пять тысяч сто девятнадцать рублей 76 копеек</w:t>
      </w:r>
      <w:r w:rsidRPr="00D5052E">
        <w:rPr>
          <w:sz w:val="23"/>
          <w:szCs w:val="23"/>
        </w:rPr>
        <w:t>).</w:t>
      </w: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lastRenderedPageBreak/>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Pr="00480C80" w:rsidRDefault="00B01765" w:rsidP="00B01765">
      <w:pPr>
        <w:tabs>
          <w:tab w:val="left" w:pos="-443"/>
        </w:tabs>
        <w:spacing w:after="0"/>
        <w:rPr>
          <w:bCs/>
          <w:color w:val="000000" w:themeColor="text1"/>
          <w:sz w:val="23"/>
          <w:szCs w:val="23"/>
        </w:rPr>
      </w:pPr>
      <w:r>
        <w:rPr>
          <w:color w:val="000000"/>
          <w:sz w:val="22"/>
          <w:szCs w:val="22"/>
        </w:rPr>
        <w:t>- окончание</w:t>
      </w:r>
      <w:r w:rsidRPr="00480C80">
        <w:rPr>
          <w:color w:val="000000" w:themeColor="text1"/>
          <w:sz w:val="22"/>
          <w:szCs w:val="22"/>
        </w:rPr>
        <w:t xml:space="preserve">: </w:t>
      </w:r>
      <w:r w:rsidR="00F162BB">
        <w:rPr>
          <w:color w:val="000000" w:themeColor="text1"/>
          <w:sz w:val="22"/>
          <w:szCs w:val="22"/>
        </w:rPr>
        <w:t>30</w:t>
      </w:r>
      <w:r w:rsidR="00D5052E" w:rsidRPr="00480C80">
        <w:rPr>
          <w:color w:val="000000" w:themeColor="text1"/>
          <w:sz w:val="22"/>
          <w:szCs w:val="22"/>
        </w:rPr>
        <w:t xml:space="preserve"> </w:t>
      </w:r>
      <w:r w:rsidR="00F162BB">
        <w:rPr>
          <w:color w:val="000000" w:themeColor="text1"/>
          <w:sz w:val="22"/>
          <w:szCs w:val="22"/>
        </w:rPr>
        <w:t>августа</w:t>
      </w:r>
      <w:r w:rsidRPr="00480C80">
        <w:rPr>
          <w:color w:val="000000" w:themeColor="text1"/>
          <w:sz w:val="22"/>
          <w:szCs w:val="22"/>
        </w:rPr>
        <w:t xml:space="preserve"> 2016 года</w:t>
      </w:r>
      <w:r w:rsidR="00D5052E" w:rsidRPr="00480C80">
        <w:rPr>
          <w:bCs/>
          <w:color w:val="000000" w:themeColor="text1"/>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течении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B01765" w:rsidP="00B01765">
      <w:pPr>
        <w:pStyle w:val="af4"/>
        <w:tabs>
          <w:tab w:val="left" w:pos="330"/>
          <w:tab w:val="left" w:pos="720"/>
          <w:tab w:val="left" w:pos="900"/>
        </w:tabs>
        <w:spacing w:after="0"/>
        <w:ind w:left="0"/>
        <w:rPr>
          <w:sz w:val="23"/>
          <w:szCs w:val="23"/>
        </w:rPr>
      </w:pPr>
      <w:r>
        <w:rPr>
          <w:sz w:val="23"/>
          <w:szCs w:val="23"/>
        </w:rPr>
        <w:lastRenderedPageBreak/>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B01765">
      <w:pPr>
        <w:numPr>
          <w:ilvl w:val="1"/>
          <w:numId w:val="16"/>
        </w:numPr>
        <w:spacing w:after="0"/>
        <w:ind w:left="0" w:firstLine="0"/>
        <w:contextualSpacing/>
        <w:rPr>
          <w:sz w:val="23"/>
          <w:szCs w:val="23"/>
        </w:rPr>
      </w:pPr>
      <w:r>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lastRenderedPageBreak/>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Default="00B01765" w:rsidP="00B01765">
      <w:pPr>
        <w:numPr>
          <w:ilvl w:val="1"/>
          <w:numId w:val="1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Default="00B01765" w:rsidP="00B01765">
      <w:pPr>
        <w:numPr>
          <w:ilvl w:val="1"/>
          <w:numId w:val="16"/>
        </w:numPr>
        <w:spacing w:after="0"/>
        <w:ind w:left="0" w:firstLine="0"/>
        <w:contextualSpacing/>
        <w:rPr>
          <w:sz w:val="23"/>
          <w:szCs w:val="23"/>
        </w:rPr>
      </w:pPr>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B01765" w:rsidRDefault="00B01765" w:rsidP="00B01765">
      <w:pPr>
        <w:numPr>
          <w:ilvl w:val="1"/>
          <w:numId w:val="1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Default="00B01765" w:rsidP="00B01765">
      <w:pPr>
        <w:numPr>
          <w:ilvl w:val="1"/>
          <w:numId w:val="16"/>
        </w:numPr>
        <w:spacing w:after="0"/>
        <w:ind w:left="0" w:firstLine="0"/>
        <w:contextualSpacing/>
        <w:rPr>
          <w:sz w:val="23"/>
          <w:szCs w:val="23"/>
        </w:rPr>
      </w:pPr>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B01765" w:rsidRDefault="00B01765" w:rsidP="00B01765">
      <w:pPr>
        <w:numPr>
          <w:ilvl w:val="1"/>
          <w:numId w:val="16"/>
        </w:numPr>
        <w:spacing w:after="0"/>
        <w:ind w:left="0" w:firstLine="0"/>
        <w:contextualSpacing/>
        <w:rPr>
          <w:sz w:val="23"/>
          <w:szCs w:val="23"/>
        </w:rPr>
      </w:pPr>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Default="00B01765" w:rsidP="00B01765">
      <w:pPr>
        <w:numPr>
          <w:ilvl w:val="1"/>
          <w:numId w:val="16"/>
        </w:numPr>
        <w:spacing w:after="0"/>
        <w:ind w:left="0" w:firstLine="0"/>
        <w:contextualSpacing/>
        <w:rPr>
          <w:sz w:val="23"/>
          <w:szCs w:val="23"/>
        </w:rPr>
      </w:pPr>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lastRenderedPageBreak/>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B01765" w:rsidRDefault="00B01765" w:rsidP="00B01765">
      <w:pPr>
        <w:numPr>
          <w:ilvl w:val="1"/>
          <w:numId w:val="1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Default="00E72649" w:rsidP="00E72649">
      <w:pPr>
        <w:spacing w:after="0"/>
        <w:contextualSpacing/>
        <w:rPr>
          <w:rFonts w:eastAsia="Calibri"/>
          <w:sz w:val="23"/>
          <w:szCs w:val="23"/>
        </w:rPr>
      </w:pP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5"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6" w:name="_Ref397432279"/>
      <w:bookmarkEnd w:id="35"/>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w:t>
      </w:r>
      <w:r>
        <w:rPr>
          <w:sz w:val="23"/>
          <w:szCs w:val="23"/>
        </w:rPr>
        <w:lastRenderedPageBreak/>
        <w:t>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lastRenderedPageBreak/>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7"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8" w:name="sub_1052"/>
      <w:bookmarkEnd w:id="37"/>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8"/>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9"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9"/>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E9625B" w:rsidRPr="00E9625B">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lastRenderedPageBreak/>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Pr="00D61BB3">
        <w:rPr>
          <w:color w:val="000000" w:themeColor="text1"/>
          <w:sz w:val="23"/>
          <w:szCs w:val="23"/>
        </w:rPr>
        <w:t xml:space="preserve">до </w:t>
      </w:r>
      <w:r w:rsidR="00F162BB">
        <w:rPr>
          <w:color w:val="000000" w:themeColor="text1"/>
          <w:sz w:val="23"/>
          <w:szCs w:val="23"/>
        </w:rPr>
        <w:t>30</w:t>
      </w:r>
      <w:r w:rsidR="007E0015" w:rsidRPr="00D61BB3">
        <w:rPr>
          <w:color w:val="000000" w:themeColor="text1"/>
          <w:sz w:val="23"/>
          <w:szCs w:val="23"/>
        </w:rPr>
        <w:t xml:space="preserve"> </w:t>
      </w:r>
      <w:r w:rsidR="00F162BB">
        <w:rPr>
          <w:color w:val="000000" w:themeColor="text1"/>
          <w:sz w:val="23"/>
          <w:szCs w:val="23"/>
        </w:rPr>
        <w:t>сентября</w:t>
      </w:r>
      <w:r w:rsidRPr="00D61BB3">
        <w:rPr>
          <w:color w:val="000000" w:themeColor="text1"/>
          <w:sz w:val="23"/>
          <w:szCs w:val="23"/>
        </w:rPr>
        <w:t xml:space="preserve"> 201</w:t>
      </w:r>
      <w:r w:rsidR="009A72CA">
        <w:rPr>
          <w:color w:val="000000" w:themeColor="text1"/>
          <w:sz w:val="23"/>
          <w:szCs w:val="23"/>
        </w:rPr>
        <w:t>7</w:t>
      </w:r>
      <w:r w:rsidRPr="00D61BB3">
        <w:rPr>
          <w:color w:val="000000" w:themeColor="text1"/>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0"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E9625B" w:rsidRPr="00E9625B">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E72649"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72649" w:rsidRDefault="00E72649" w:rsidP="00E72649">
      <w:pPr>
        <w:suppressAutoHyphens/>
        <w:autoSpaceDE w:val="0"/>
        <w:autoSpaceDN w:val="0"/>
        <w:adjustRightInd w:val="0"/>
        <w:spacing w:after="0"/>
        <w:contextualSpacing/>
        <w:rPr>
          <w:sz w:val="23"/>
          <w:szCs w:val="23"/>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w:t>
      </w:r>
      <w:r>
        <w:rPr>
          <w:sz w:val="23"/>
          <w:szCs w:val="23"/>
        </w:rPr>
        <w:lastRenderedPageBreak/>
        <w:t xml:space="preserve">неисполнением, либо ненадлежащим исполнением обязательств Подрядчика по контракту убытков, и иные обязательства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Денежные средства возвращаются Подрядчику Муниципальным заказчиком в течение 10 (десяти) банковских дней со дня получения Муниципальным заказчиком соответствующего письменного требования Подрядчика по истечении срока действия контракта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Подрядчиком в этом письменном требовании.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Все расходы, связанные с предоставлением документа об обеспечении исполнения контракта,  несет Подрядчик. </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01765" w:rsidRDefault="00B01765" w:rsidP="00B01765">
      <w:pPr>
        <w:numPr>
          <w:ilvl w:val="1"/>
          <w:numId w:val="20"/>
        </w:numPr>
        <w:autoSpaceDE w:val="0"/>
        <w:autoSpaceDN w:val="0"/>
        <w:adjustRightInd w:val="0"/>
        <w:spacing w:after="0"/>
        <w:ind w:left="0" w:firstLine="0"/>
        <w:rPr>
          <w:sz w:val="23"/>
          <w:szCs w:val="23"/>
        </w:rPr>
      </w:pPr>
      <w:r>
        <w:rPr>
          <w:sz w:val="23"/>
          <w:szCs w:val="23"/>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Неотъемлемой частью настоящего контракта является:</w:t>
      </w:r>
    </w:p>
    <w:p w:rsidR="00B01765" w:rsidRDefault="00B01765" w:rsidP="00B01765">
      <w:pPr>
        <w:numPr>
          <w:ilvl w:val="0"/>
          <w:numId w:val="13"/>
        </w:numPr>
        <w:tabs>
          <w:tab w:val="left" w:pos="-104"/>
        </w:tabs>
        <w:suppressAutoHyphens/>
        <w:spacing w:after="0"/>
        <w:ind w:left="0" w:firstLine="0"/>
        <w:rPr>
          <w:sz w:val="23"/>
          <w:szCs w:val="23"/>
        </w:rPr>
      </w:pPr>
      <w:r>
        <w:rPr>
          <w:sz w:val="23"/>
          <w:szCs w:val="23"/>
        </w:rPr>
        <w:t>образец акта приемки результата ис</w:t>
      </w:r>
      <w:r w:rsidR="00F162BB">
        <w:rPr>
          <w:sz w:val="23"/>
          <w:szCs w:val="23"/>
        </w:rPr>
        <w:t>полнения контракта (Приложение)</w:t>
      </w:r>
      <w:r w:rsidR="00F162BB" w:rsidRPr="00F162BB">
        <w:rPr>
          <w:sz w:val="23"/>
          <w:szCs w:val="23"/>
        </w:rPr>
        <w:t>;</w:t>
      </w:r>
    </w:p>
    <w:p w:rsidR="00F162BB" w:rsidRDefault="00F162BB" w:rsidP="00B01765">
      <w:pPr>
        <w:numPr>
          <w:ilvl w:val="0"/>
          <w:numId w:val="13"/>
        </w:numPr>
        <w:tabs>
          <w:tab w:val="left" w:pos="-104"/>
        </w:tabs>
        <w:suppressAutoHyphens/>
        <w:spacing w:after="0"/>
        <w:ind w:left="0" w:firstLine="0"/>
        <w:rPr>
          <w:sz w:val="23"/>
          <w:szCs w:val="23"/>
        </w:rPr>
      </w:pPr>
      <w:r>
        <w:rPr>
          <w:sz w:val="23"/>
          <w:szCs w:val="23"/>
        </w:rPr>
        <w:t>первая часть заявки</w:t>
      </w:r>
      <w:r w:rsidR="00B71DBB">
        <w:rPr>
          <w:sz w:val="23"/>
          <w:szCs w:val="23"/>
        </w:rPr>
        <w:t xml:space="preserve"> победителя аукциона.</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01765" w:rsidRDefault="00B01765" w:rsidP="00B01765">
      <w:pPr>
        <w:numPr>
          <w:ilvl w:val="1"/>
          <w:numId w:val="20"/>
        </w:numPr>
        <w:tabs>
          <w:tab w:val="left" w:pos="-104"/>
        </w:tabs>
        <w:suppressAutoHyphens/>
        <w:spacing w:after="0"/>
        <w:ind w:left="0" w:firstLine="0"/>
        <w:rPr>
          <w:sz w:val="23"/>
          <w:szCs w:val="23"/>
        </w:rPr>
      </w:pPr>
      <w:r>
        <w:rPr>
          <w:sz w:val="23"/>
          <w:szCs w:val="23"/>
        </w:rPr>
        <w:t xml:space="preserve">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w:t>
      </w:r>
      <w:r>
        <w:rPr>
          <w:sz w:val="23"/>
          <w:szCs w:val="23"/>
        </w:rPr>
        <w:lastRenderedPageBreak/>
        <w:t>признается равнозначной собственноручной подписи лица в документе на бумажном носителе, заверенной печатью</w:t>
      </w:r>
      <w:r w:rsidR="007E0015">
        <w:rPr>
          <w:sz w:val="23"/>
          <w:szCs w:val="23"/>
        </w:rPr>
        <w:t>.</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D772E5" w:rsidRPr="00D772E5">
        <w:rPr>
          <w:b/>
          <w:color w:val="000000" w:themeColor="text1"/>
          <w:sz w:val="22"/>
          <w:szCs w:val="22"/>
        </w:rPr>
        <w:t>выполнение работ по устройству тротуара по ул.Вавилова (от ул.Менделеева до ул.Песчаная)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D772E5" w:rsidRDefault="00D772E5" w:rsidP="00B4752C">
      <w:pPr>
        <w:suppressAutoHyphens/>
        <w:snapToGrid w:val="0"/>
        <w:spacing w:after="0"/>
        <w:rPr>
          <w:rFonts w:eastAsia="Calibri"/>
          <w:sz w:val="22"/>
          <w:szCs w:val="22"/>
          <w:lang w:eastAsia="en-US"/>
        </w:rPr>
      </w:pPr>
      <w:r>
        <w:rPr>
          <w:b/>
          <w:color w:val="000000" w:themeColor="text1"/>
          <w:sz w:val="22"/>
          <w:szCs w:val="22"/>
        </w:rPr>
        <w:t>устройство</w:t>
      </w:r>
      <w:r w:rsidRPr="00D772E5">
        <w:rPr>
          <w:b/>
          <w:color w:val="000000" w:themeColor="text1"/>
          <w:sz w:val="22"/>
          <w:szCs w:val="22"/>
        </w:rPr>
        <w:t xml:space="preserve"> тротуара по ул.Вавилова (от ул.Менделеева до ул.Песчаная) в городе Югорске</w:t>
      </w:r>
      <w:r>
        <w:rPr>
          <w:rFonts w:eastAsia="Calibri"/>
          <w:sz w:val="22"/>
          <w:szCs w:val="22"/>
          <w:lang w:eastAsia="en-US"/>
        </w:rPr>
        <w:t xml:space="preserve"> </w:t>
      </w:r>
    </w:p>
    <w:p w:rsidR="00B01765" w:rsidRDefault="00D772E5" w:rsidP="00B4752C">
      <w:pPr>
        <w:suppressAutoHyphens/>
        <w:snapToGrid w:val="0"/>
        <w:spacing w:after="0"/>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00B01765">
        <w:rPr>
          <w:rFonts w:eastAsia="Calibri"/>
          <w:sz w:val="22"/>
          <w:szCs w:val="22"/>
          <w:lang w:eastAsia="en-US"/>
        </w:rPr>
        <w:t xml:space="preserve">2. С момента подписания настоящего акта муниципальный контракт считать: </w:t>
      </w:r>
      <w:r w:rsidR="00B01765">
        <w:rPr>
          <w:rFonts w:eastAsia="Calibri"/>
          <w:b/>
          <w:sz w:val="22"/>
          <w:szCs w:val="22"/>
          <w:lang w:eastAsia="en-US"/>
        </w:rPr>
        <w:t>ИСПОЛНЕННЫМ</w:t>
      </w:r>
      <w:r w:rsidR="00B01765">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D772E5">
        <w:rPr>
          <w:kern w:val="2"/>
          <w:sz w:val="22"/>
          <w:szCs w:val="22"/>
        </w:rPr>
        <w:t>й на основании _________</w:t>
      </w:r>
    </w:p>
    <w:bookmarkEnd w:id="32"/>
    <w:bookmarkEnd w:id="34"/>
    <w:p w:rsidR="00233685" w:rsidRPr="00E72649" w:rsidRDefault="00233685" w:rsidP="00E72649">
      <w:pPr>
        <w:rPr>
          <w:sz w:val="22"/>
          <w:szCs w:val="22"/>
        </w:rPr>
        <w:sectPr w:rsidR="00233685" w:rsidRPr="00E72649" w:rsidSect="00787B31">
          <w:footerReference w:type="even" r:id="rId18"/>
          <w:footerReference w:type="default" r:id="rId19"/>
          <w:footerReference w:type="first" r:id="rId20"/>
          <w:pgSz w:w="11905" w:h="16837"/>
          <w:pgMar w:top="720" w:right="720" w:bottom="652" w:left="720" w:header="720" w:footer="232" w:gutter="0"/>
          <w:cols w:space="720"/>
          <w:docGrid w:linePitch="326"/>
        </w:sectPr>
      </w:pPr>
    </w:p>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D772E5" w:rsidRPr="00D772E5">
        <w:rPr>
          <w:b/>
          <w:color w:val="000000" w:themeColor="text1"/>
          <w:sz w:val="22"/>
          <w:szCs w:val="22"/>
        </w:rPr>
        <w:t>выполнени</w:t>
      </w:r>
      <w:r w:rsidR="00D772E5">
        <w:rPr>
          <w:b/>
          <w:color w:val="000000" w:themeColor="text1"/>
          <w:sz w:val="22"/>
          <w:szCs w:val="22"/>
        </w:rPr>
        <w:t>я</w:t>
      </w:r>
      <w:r w:rsidR="00D772E5" w:rsidRPr="00D772E5">
        <w:rPr>
          <w:b/>
          <w:color w:val="000000" w:themeColor="text1"/>
          <w:sz w:val="22"/>
          <w:szCs w:val="22"/>
        </w:rPr>
        <w:t xml:space="preserve"> работ по устройству тротуара по ул.Вавилова (от ул.Менделеева до ул.Песчаная) 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B65B40" w:rsidRPr="003C2F55" w:rsidRDefault="00E50B99" w:rsidP="00B65B40">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D772E5" w:rsidRPr="00D772E5">
        <w:rPr>
          <w:b/>
          <w:color w:val="000000" w:themeColor="text1"/>
          <w:sz w:val="22"/>
          <w:szCs w:val="22"/>
        </w:rPr>
        <w:t>выполнение работ по устройству тротуара по ул.Вавилова (от ул.Менделеева до ул.Песчаная) в городе Югорске</w:t>
      </w:r>
    </w:p>
    <w:p w:rsidR="00E50B99" w:rsidRPr="00D772E5" w:rsidRDefault="00E50B99" w:rsidP="00E50B99">
      <w:pPr>
        <w:spacing w:after="0"/>
        <w:ind w:right="-15"/>
        <w:jc w:val="center"/>
        <w:rPr>
          <w:b/>
          <w:color w:val="FF0000"/>
          <w:sz w:val="22"/>
          <w:szCs w:val="22"/>
        </w:rPr>
      </w:pPr>
    </w:p>
    <w:p w:rsidR="00E72649" w:rsidRPr="00955747" w:rsidRDefault="00E72649" w:rsidP="00843217">
      <w:pPr>
        <w:suppressAutoHyphens/>
        <w:ind w:right="-15"/>
        <w:jc w:val="left"/>
        <w:rPr>
          <w:color w:val="000000" w:themeColor="text1"/>
          <w:kern w:val="2"/>
          <w:sz w:val="20"/>
          <w:szCs w:val="20"/>
          <w:lang w:eastAsia="ar-SA"/>
        </w:rPr>
      </w:pPr>
      <w:r w:rsidRPr="00955747">
        <w:rPr>
          <w:color w:val="000000" w:themeColor="text1"/>
          <w:kern w:val="2"/>
          <w:sz w:val="20"/>
          <w:szCs w:val="20"/>
          <w:lang w:eastAsia="ar-SA"/>
        </w:rPr>
        <w:t>Основание: Дефектный акт</w:t>
      </w:r>
    </w:p>
    <w:p w:rsidR="00843217" w:rsidRPr="00955747" w:rsidRDefault="00843217" w:rsidP="00843217">
      <w:pPr>
        <w:suppressAutoHyphens/>
        <w:ind w:right="-15"/>
        <w:jc w:val="left"/>
        <w:rPr>
          <w:color w:val="000000" w:themeColor="text1"/>
          <w:kern w:val="2"/>
          <w:sz w:val="20"/>
          <w:szCs w:val="20"/>
          <w:lang w:eastAsia="ar-SA"/>
        </w:rPr>
      </w:pPr>
      <w:r w:rsidRPr="00955747">
        <w:rPr>
          <w:color w:val="000000" w:themeColor="text1"/>
          <w:kern w:val="2"/>
          <w:sz w:val="20"/>
          <w:szCs w:val="20"/>
          <w:lang w:eastAsia="ar-SA"/>
        </w:rPr>
        <w:t>Сметная стоимость работ в текущих ценах с НДС</w:t>
      </w:r>
      <w:r w:rsidR="00E72649" w:rsidRPr="00955747">
        <w:rPr>
          <w:color w:val="000000" w:themeColor="text1"/>
          <w:kern w:val="2"/>
          <w:sz w:val="20"/>
          <w:szCs w:val="20"/>
          <w:lang w:eastAsia="ar-SA"/>
        </w:rPr>
        <w:t xml:space="preserve"> 18%</w:t>
      </w:r>
      <w:r w:rsidRPr="00955747">
        <w:rPr>
          <w:color w:val="000000" w:themeColor="text1"/>
          <w:kern w:val="2"/>
          <w:sz w:val="20"/>
          <w:szCs w:val="20"/>
          <w:lang w:eastAsia="ar-SA"/>
        </w:rPr>
        <w:t>_____________</w:t>
      </w:r>
      <w:r w:rsidR="00E72649" w:rsidRPr="00955747">
        <w:rPr>
          <w:color w:val="000000" w:themeColor="text1"/>
          <w:kern w:val="2"/>
          <w:sz w:val="20"/>
          <w:szCs w:val="20"/>
          <w:lang w:eastAsia="ar-SA"/>
        </w:rPr>
        <w:t>________</w:t>
      </w:r>
      <w:r w:rsidRPr="00955747">
        <w:rPr>
          <w:color w:val="000000" w:themeColor="text1"/>
          <w:kern w:val="2"/>
          <w:sz w:val="20"/>
          <w:szCs w:val="20"/>
          <w:lang w:eastAsia="ar-SA"/>
        </w:rPr>
        <w:t xml:space="preserve">_ </w:t>
      </w:r>
      <w:r w:rsidR="00955747" w:rsidRPr="00955747">
        <w:rPr>
          <w:color w:val="000000" w:themeColor="text1"/>
          <w:kern w:val="2"/>
          <w:sz w:val="20"/>
          <w:szCs w:val="20"/>
          <w:lang w:eastAsia="ar-SA"/>
        </w:rPr>
        <w:t>468,263</w:t>
      </w:r>
      <w:r w:rsidRPr="00955747">
        <w:rPr>
          <w:color w:val="000000" w:themeColor="text1"/>
          <w:kern w:val="2"/>
          <w:sz w:val="20"/>
          <w:szCs w:val="20"/>
          <w:lang w:eastAsia="ar-SA"/>
        </w:rPr>
        <w:t xml:space="preserve">  тыс. руб.</w:t>
      </w:r>
    </w:p>
    <w:p w:rsidR="00843217" w:rsidRPr="00955747" w:rsidRDefault="00843217" w:rsidP="00843217">
      <w:pPr>
        <w:suppressAutoHyphens/>
        <w:ind w:right="-15"/>
        <w:jc w:val="left"/>
        <w:rPr>
          <w:color w:val="000000" w:themeColor="text1"/>
          <w:kern w:val="2"/>
          <w:sz w:val="20"/>
          <w:szCs w:val="20"/>
          <w:lang w:eastAsia="ar-SA"/>
        </w:rPr>
      </w:pPr>
      <w:r w:rsidRPr="00955747">
        <w:rPr>
          <w:color w:val="000000" w:themeColor="text1"/>
          <w:kern w:val="2"/>
          <w:sz w:val="20"/>
          <w:szCs w:val="20"/>
          <w:lang w:eastAsia="ar-SA"/>
        </w:rPr>
        <w:t>Средства на оплату труда________________________________________________</w:t>
      </w:r>
      <w:r w:rsidR="00B6593E" w:rsidRPr="00955747">
        <w:rPr>
          <w:color w:val="000000" w:themeColor="text1"/>
          <w:kern w:val="2"/>
          <w:sz w:val="20"/>
          <w:szCs w:val="20"/>
          <w:lang w:eastAsia="ar-SA"/>
        </w:rPr>
        <w:t>1,</w:t>
      </w:r>
      <w:r w:rsidR="00955747" w:rsidRPr="00955747">
        <w:rPr>
          <w:color w:val="000000" w:themeColor="text1"/>
          <w:kern w:val="2"/>
          <w:sz w:val="20"/>
          <w:szCs w:val="20"/>
          <w:lang w:eastAsia="ar-SA"/>
        </w:rPr>
        <w:t>154</w:t>
      </w:r>
      <w:r w:rsidR="00C648D8" w:rsidRPr="00955747">
        <w:rPr>
          <w:color w:val="000000" w:themeColor="text1"/>
          <w:kern w:val="2"/>
          <w:sz w:val="20"/>
          <w:szCs w:val="20"/>
          <w:lang w:eastAsia="ar-SA"/>
        </w:rPr>
        <w:t xml:space="preserve"> </w:t>
      </w:r>
      <w:r w:rsidR="008B0750" w:rsidRPr="00955747">
        <w:rPr>
          <w:color w:val="000000" w:themeColor="text1"/>
          <w:kern w:val="2"/>
          <w:sz w:val="20"/>
          <w:szCs w:val="20"/>
          <w:lang w:eastAsia="ar-SA"/>
        </w:rPr>
        <w:t>тыс.</w:t>
      </w:r>
      <w:r w:rsidRPr="00955747">
        <w:rPr>
          <w:color w:val="000000" w:themeColor="text1"/>
          <w:kern w:val="2"/>
          <w:sz w:val="20"/>
          <w:szCs w:val="20"/>
          <w:lang w:eastAsia="ar-SA"/>
        </w:rPr>
        <w:t xml:space="preserve"> руб.</w:t>
      </w:r>
    </w:p>
    <w:p w:rsidR="00843217" w:rsidRPr="00955747" w:rsidRDefault="00843217" w:rsidP="00843217">
      <w:pPr>
        <w:suppressAutoHyphens/>
        <w:ind w:right="-15"/>
        <w:jc w:val="left"/>
        <w:rPr>
          <w:color w:val="000000" w:themeColor="text1"/>
          <w:kern w:val="2"/>
          <w:sz w:val="20"/>
          <w:szCs w:val="20"/>
          <w:lang w:eastAsia="ar-SA"/>
        </w:rPr>
      </w:pPr>
      <w:r w:rsidRPr="00955747">
        <w:rPr>
          <w:color w:val="000000" w:themeColor="text1"/>
          <w:kern w:val="2"/>
          <w:sz w:val="20"/>
          <w:szCs w:val="20"/>
          <w:lang w:eastAsia="ar-SA"/>
        </w:rPr>
        <w:t>Сметная трудоемкость_____________________________________</w:t>
      </w:r>
      <w:r w:rsidR="00B6593E" w:rsidRPr="00955747">
        <w:rPr>
          <w:color w:val="000000" w:themeColor="text1"/>
          <w:kern w:val="2"/>
          <w:sz w:val="20"/>
          <w:szCs w:val="20"/>
          <w:lang w:eastAsia="ar-SA"/>
        </w:rPr>
        <w:t>______________</w:t>
      </w:r>
      <w:r w:rsidR="00955747" w:rsidRPr="00955747">
        <w:rPr>
          <w:color w:val="000000" w:themeColor="text1"/>
          <w:kern w:val="2"/>
          <w:sz w:val="20"/>
          <w:szCs w:val="20"/>
          <w:lang w:eastAsia="ar-SA"/>
        </w:rPr>
        <w:t>90</w:t>
      </w:r>
      <w:r w:rsidR="00B6593E" w:rsidRPr="00955747">
        <w:rPr>
          <w:color w:val="000000" w:themeColor="text1"/>
          <w:kern w:val="2"/>
          <w:sz w:val="20"/>
          <w:szCs w:val="20"/>
          <w:lang w:eastAsia="ar-SA"/>
        </w:rPr>
        <w:t>,</w:t>
      </w:r>
      <w:r w:rsidR="00955747" w:rsidRPr="00955747">
        <w:rPr>
          <w:color w:val="000000" w:themeColor="text1"/>
          <w:kern w:val="2"/>
          <w:sz w:val="20"/>
          <w:szCs w:val="20"/>
          <w:lang w:eastAsia="ar-SA"/>
        </w:rPr>
        <w:t>02</w:t>
      </w:r>
      <w:r w:rsidR="00C648D8" w:rsidRPr="00955747">
        <w:rPr>
          <w:color w:val="000000" w:themeColor="text1"/>
          <w:kern w:val="2"/>
          <w:sz w:val="20"/>
          <w:szCs w:val="20"/>
          <w:lang w:eastAsia="ar-SA"/>
        </w:rPr>
        <w:t xml:space="preserve"> </w:t>
      </w:r>
      <w:r w:rsidRPr="00955747">
        <w:rPr>
          <w:color w:val="000000" w:themeColor="text1"/>
          <w:kern w:val="2"/>
          <w:sz w:val="20"/>
          <w:szCs w:val="20"/>
          <w:lang w:eastAsia="ar-SA"/>
        </w:rPr>
        <w:t>чел. час</w:t>
      </w:r>
    </w:p>
    <w:p w:rsidR="00852733" w:rsidRPr="00955747" w:rsidRDefault="00843217" w:rsidP="00B6593E">
      <w:pPr>
        <w:suppressAutoHyphens/>
        <w:ind w:right="-15"/>
        <w:jc w:val="left"/>
        <w:rPr>
          <w:color w:val="000000" w:themeColor="text1"/>
          <w:kern w:val="2"/>
          <w:sz w:val="20"/>
          <w:szCs w:val="20"/>
          <w:lang w:eastAsia="ar-SA"/>
        </w:rPr>
      </w:pPr>
      <w:r w:rsidRPr="00955747">
        <w:rPr>
          <w:color w:val="000000" w:themeColor="text1"/>
          <w:kern w:val="2"/>
          <w:sz w:val="20"/>
          <w:szCs w:val="20"/>
          <w:lang w:eastAsia="ar-SA"/>
        </w:rPr>
        <w:t xml:space="preserve">Составлена в ценах 2001 г. </w:t>
      </w:r>
    </w:p>
    <w:p w:rsidR="00885C6D" w:rsidRDefault="00885C6D" w:rsidP="00754E64">
      <w:pPr>
        <w:ind w:right="-15"/>
        <w:jc w:val="left"/>
        <w:rPr>
          <w:b/>
          <w:sz w:val="20"/>
          <w:szCs w:val="20"/>
        </w:rPr>
      </w:pPr>
    </w:p>
    <w:tbl>
      <w:tblPr>
        <w:tblW w:w="15820" w:type="dxa"/>
        <w:tblInd w:w="93" w:type="dxa"/>
        <w:tblLook w:val="04A0" w:firstRow="1" w:lastRow="0" w:firstColumn="1" w:lastColumn="0" w:noHBand="0" w:noVBand="1"/>
      </w:tblPr>
      <w:tblGrid>
        <w:gridCol w:w="417"/>
        <w:gridCol w:w="1926"/>
        <w:gridCol w:w="2376"/>
        <w:gridCol w:w="1630"/>
        <w:gridCol w:w="1464"/>
        <w:gridCol w:w="1112"/>
        <w:gridCol w:w="1464"/>
        <w:gridCol w:w="973"/>
        <w:gridCol w:w="861"/>
        <w:gridCol w:w="1112"/>
        <w:gridCol w:w="884"/>
        <w:gridCol w:w="915"/>
        <w:gridCol w:w="837"/>
      </w:tblGrid>
      <w:tr w:rsidR="0019653D" w:rsidRPr="0019653D" w:rsidTr="0019653D">
        <w:trPr>
          <w:trHeight w:val="450"/>
        </w:trPr>
        <w:tc>
          <w:tcPr>
            <w:tcW w:w="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 пп</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Шифр и номер позиции норматива</w:t>
            </w:r>
          </w:p>
        </w:tc>
        <w:tc>
          <w:tcPr>
            <w:tcW w:w="3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Наименование работ и затрат, единица измерения</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Количество</w:t>
            </w:r>
          </w:p>
        </w:tc>
        <w:tc>
          <w:tcPr>
            <w:tcW w:w="3482" w:type="dxa"/>
            <w:gridSpan w:val="3"/>
            <w:tcBorders>
              <w:top w:val="single" w:sz="4" w:space="0" w:color="auto"/>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Стоимость единицы, руб.</w:t>
            </w:r>
          </w:p>
        </w:tc>
        <w:tc>
          <w:tcPr>
            <w:tcW w:w="3552" w:type="dxa"/>
            <w:gridSpan w:val="4"/>
            <w:tcBorders>
              <w:top w:val="single" w:sz="4" w:space="0" w:color="auto"/>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Общая стоимость, руб.</w:t>
            </w:r>
          </w:p>
        </w:tc>
        <w:tc>
          <w:tcPr>
            <w:tcW w:w="17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Затраты труда рабочих, чел.-ч, не занятых обслуживанием машин</w:t>
            </w:r>
          </w:p>
        </w:tc>
      </w:tr>
      <w:tr w:rsidR="0019653D" w:rsidRPr="0019653D" w:rsidTr="0019653D">
        <w:trPr>
          <w:trHeight w:val="690"/>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3331"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278"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эксплуата-</w:t>
            </w:r>
            <w:r w:rsidRPr="0019653D">
              <w:rPr>
                <w:rFonts w:ascii="Arial" w:hAnsi="Arial" w:cs="Arial"/>
                <w:sz w:val="18"/>
                <w:szCs w:val="18"/>
              </w:rPr>
              <w:br/>
              <w:t>ции машин</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мате-</w:t>
            </w:r>
            <w:r w:rsidRPr="0019653D">
              <w:rPr>
                <w:rFonts w:ascii="Arial" w:hAnsi="Arial" w:cs="Arial"/>
                <w:sz w:val="18"/>
                <w:szCs w:val="18"/>
              </w:rPr>
              <w:br/>
              <w:t>риалы</w:t>
            </w:r>
          </w:p>
        </w:tc>
        <w:tc>
          <w:tcPr>
            <w:tcW w:w="892" w:type="dxa"/>
            <w:vMerge w:val="restart"/>
            <w:tcBorders>
              <w:top w:val="nil"/>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Всего</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эксплуата-</w:t>
            </w:r>
            <w:r w:rsidRPr="0019653D">
              <w:rPr>
                <w:rFonts w:ascii="Arial" w:hAnsi="Arial" w:cs="Arial"/>
                <w:sz w:val="18"/>
                <w:szCs w:val="18"/>
              </w:rPr>
              <w:br/>
              <w:t>ции машин</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мате-</w:t>
            </w:r>
            <w:r w:rsidRPr="0019653D">
              <w:rPr>
                <w:rFonts w:ascii="Arial" w:hAnsi="Arial" w:cs="Arial"/>
                <w:sz w:val="18"/>
                <w:szCs w:val="18"/>
              </w:rPr>
              <w:br/>
              <w:t>риалы</w:t>
            </w:r>
          </w:p>
        </w:tc>
        <w:tc>
          <w:tcPr>
            <w:tcW w:w="1737" w:type="dxa"/>
            <w:gridSpan w:val="2"/>
            <w:vMerge/>
            <w:tcBorders>
              <w:top w:val="nil"/>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r>
      <w:tr w:rsidR="0019653D" w:rsidRPr="0019653D" w:rsidTr="0019653D">
        <w:trPr>
          <w:trHeight w:val="76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3331"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1278"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в т.ч. оплаты труда</w:t>
            </w:r>
          </w:p>
        </w:tc>
        <w:tc>
          <w:tcPr>
            <w:tcW w:w="1278" w:type="dxa"/>
            <w:vMerge/>
            <w:tcBorders>
              <w:top w:val="nil"/>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892" w:type="dxa"/>
            <w:vMerge/>
            <w:tcBorders>
              <w:top w:val="nil"/>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861" w:type="dxa"/>
            <w:vMerge/>
            <w:tcBorders>
              <w:top w:val="nil"/>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в т.ч. оплаты труда</w:t>
            </w:r>
          </w:p>
        </w:tc>
        <w:tc>
          <w:tcPr>
            <w:tcW w:w="873" w:type="dxa"/>
            <w:vMerge/>
            <w:tcBorders>
              <w:top w:val="nil"/>
              <w:left w:val="single" w:sz="4" w:space="0" w:color="auto"/>
              <w:bottom w:val="single" w:sz="4" w:space="0" w:color="auto"/>
              <w:right w:val="single" w:sz="4" w:space="0" w:color="auto"/>
            </w:tcBorders>
            <w:vAlign w:val="center"/>
            <w:hideMark/>
          </w:tcPr>
          <w:p w:rsidR="0019653D" w:rsidRPr="0019653D" w:rsidRDefault="0019653D" w:rsidP="0019653D">
            <w:pPr>
              <w:spacing w:after="0"/>
              <w:jc w:val="left"/>
              <w:rPr>
                <w:rFonts w:ascii="Arial" w:hAnsi="Arial" w:cs="Arial"/>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на единицу</w:t>
            </w:r>
          </w:p>
        </w:tc>
        <w:tc>
          <w:tcPr>
            <w:tcW w:w="837"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всего</w:t>
            </w:r>
          </w:p>
        </w:tc>
      </w:tr>
      <w:tr w:rsidR="0019653D" w:rsidRPr="0019653D" w:rsidTr="0019653D">
        <w:trPr>
          <w:trHeight w:val="255"/>
        </w:trPr>
        <w:tc>
          <w:tcPr>
            <w:tcW w:w="348" w:type="dxa"/>
            <w:tcBorders>
              <w:top w:val="nil"/>
              <w:left w:val="single" w:sz="4" w:space="0" w:color="auto"/>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w:t>
            </w:r>
          </w:p>
        </w:tc>
        <w:tc>
          <w:tcPr>
            <w:tcW w:w="3331"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3</w:t>
            </w:r>
          </w:p>
        </w:tc>
        <w:tc>
          <w:tcPr>
            <w:tcW w:w="1630"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4</w:t>
            </w:r>
          </w:p>
        </w:tc>
        <w:tc>
          <w:tcPr>
            <w:tcW w:w="1278" w:type="dxa"/>
            <w:tcBorders>
              <w:top w:val="nil"/>
              <w:left w:val="nil"/>
              <w:bottom w:val="single" w:sz="4" w:space="0" w:color="auto"/>
              <w:right w:val="single" w:sz="4" w:space="0" w:color="auto"/>
            </w:tcBorders>
            <w:shd w:val="clear" w:color="auto" w:fill="auto"/>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6</w:t>
            </w:r>
          </w:p>
        </w:tc>
        <w:tc>
          <w:tcPr>
            <w:tcW w:w="1278"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7</w:t>
            </w:r>
          </w:p>
        </w:tc>
        <w:tc>
          <w:tcPr>
            <w:tcW w:w="892"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8</w:t>
            </w:r>
          </w:p>
        </w:tc>
        <w:tc>
          <w:tcPr>
            <w:tcW w:w="861"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10</w:t>
            </w:r>
          </w:p>
        </w:tc>
        <w:tc>
          <w:tcPr>
            <w:tcW w:w="873"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11</w:t>
            </w:r>
          </w:p>
        </w:tc>
        <w:tc>
          <w:tcPr>
            <w:tcW w:w="900"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12</w:t>
            </w:r>
          </w:p>
        </w:tc>
        <w:tc>
          <w:tcPr>
            <w:tcW w:w="837" w:type="dxa"/>
            <w:tcBorders>
              <w:top w:val="nil"/>
              <w:left w:val="nil"/>
              <w:bottom w:val="single" w:sz="4" w:space="0" w:color="auto"/>
              <w:right w:val="single" w:sz="4" w:space="0" w:color="auto"/>
            </w:tcBorders>
            <w:shd w:val="clear" w:color="auto" w:fill="auto"/>
            <w:noWrap/>
            <w:vAlign w:val="center"/>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13</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1. Демонтажные работы</w:t>
            </w:r>
          </w:p>
        </w:tc>
      </w:tr>
      <w:tr w:rsidR="0019653D" w:rsidRPr="0019653D" w:rsidTr="0019653D">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ФЕРр68-14-1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Разборка бортовых камней: на бетонном основании</w:t>
            </w:r>
            <w:r w:rsidRPr="0019653D">
              <w:rPr>
                <w:rFonts w:ascii="Arial" w:hAnsi="Arial" w:cs="Arial"/>
                <w:sz w:val="18"/>
                <w:szCs w:val="18"/>
              </w:rPr>
              <w:br/>
              <w:t>(100 м)</w:t>
            </w:r>
            <w:r w:rsidRPr="0019653D">
              <w:rPr>
                <w:rFonts w:ascii="Arial" w:hAnsi="Arial" w:cs="Arial"/>
                <w:i/>
                <w:iCs/>
                <w:sz w:val="14"/>
                <w:szCs w:val="14"/>
              </w:rPr>
              <w:br/>
              <w:t>НР (44,76 руб.): 109% от ФОТ</w:t>
            </w:r>
            <w:r w:rsidRPr="0019653D">
              <w:rPr>
                <w:rFonts w:ascii="Arial" w:hAnsi="Arial" w:cs="Arial"/>
                <w:i/>
                <w:iCs/>
                <w:sz w:val="14"/>
                <w:szCs w:val="14"/>
              </w:rPr>
              <w:br/>
              <w:t>СП (24,64 руб.): 60%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0,06</w:t>
            </w:r>
            <w:r w:rsidRPr="0019653D">
              <w:rPr>
                <w:rFonts w:ascii="Arial" w:hAnsi="Arial" w:cs="Arial"/>
                <w:i/>
                <w:iCs/>
                <w:sz w:val="14"/>
                <w:szCs w:val="14"/>
              </w:rPr>
              <w:br/>
              <w:t>6/100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1478,92</w:t>
            </w:r>
            <w:r w:rsidRPr="0019653D">
              <w:rPr>
                <w:rFonts w:ascii="Arial" w:hAnsi="Arial" w:cs="Arial"/>
                <w:sz w:val="16"/>
                <w:szCs w:val="16"/>
              </w:rPr>
              <w:br/>
              <w:t>589,77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889,15</w:t>
            </w:r>
            <w:r w:rsidRPr="0019653D">
              <w:rPr>
                <w:rFonts w:ascii="Arial" w:hAnsi="Arial" w:cs="Arial"/>
                <w:sz w:val="16"/>
                <w:szCs w:val="16"/>
              </w:rPr>
              <w:br/>
              <w:t>94,56</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88,74</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35,39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53,35</w:t>
            </w:r>
            <w:r w:rsidRPr="0019653D">
              <w:rPr>
                <w:rFonts w:ascii="Arial" w:hAnsi="Arial" w:cs="Arial"/>
                <w:sz w:val="16"/>
                <w:szCs w:val="16"/>
              </w:rPr>
              <w:br/>
              <w:t>5,67</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68,26</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88,74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35,39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53,35</w:t>
            </w:r>
            <w:r w:rsidRPr="0019653D">
              <w:rPr>
                <w:rFonts w:ascii="Arial" w:hAnsi="Arial" w:cs="Arial"/>
                <w:sz w:val="16"/>
                <w:szCs w:val="16"/>
              </w:rPr>
              <w:br/>
              <w:t>5,67</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44,76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24,64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1 Демонтажные работы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Благоустройство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158,14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158,14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lastRenderedPageBreak/>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53,35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41,06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44,76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24,64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Итого по разделу 1 Демонтажные работы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158,14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4,1</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2. Подготовительные работы</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ФЕР01-01-030-06</w:t>
            </w:r>
            <w:r w:rsidRPr="0019653D">
              <w:rPr>
                <w:rFonts w:ascii="Arial" w:hAnsi="Arial" w:cs="Arial"/>
                <w:i/>
                <w:iCs/>
                <w:sz w:val="18"/>
                <w:szCs w:val="18"/>
              </w:rPr>
              <w:br/>
              <w:t>Применительно</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Снятие растительного слоя грунта - Разработка грунта с перемещением до 10 м бульдозерами мощностью: 79 кВт (108 л.с.), группа грунтов 2</w:t>
            </w:r>
            <w:r w:rsidRPr="0019653D">
              <w:rPr>
                <w:rFonts w:ascii="Arial" w:hAnsi="Arial" w:cs="Arial"/>
                <w:sz w:val="18"/>
                <w:szCs w:val="18"/>
              </w:rPr>
              <w:br/>
              <w:t>(1000 м3 грунта)</w:t>
            </w:r>
            <w:r w:rsidRPr="0019653D">
              <w:rPr>
                <w:rFonts w:ascii="Arial" w:hAnsi="Arial" w:cs="Arial"/>
                <w:i/>
                <w:iCs/>
                <w:sz w:val="14"/>
                <w:szCs w:val="14"/>
              </w:rPr>
              <w:br/>
              <w:t>НР (2,93 руб.): 100% от ФОТ</w:t>
            </w:r>
            <w:r w:rsidRPr="0019653D">
              <w:rPr>
                <w:rFonts w:ascii="Arial" w:hAnsi="Arial" w:cs="Arial"/>
                <w:i/>
                <w:iCs/>
                <w:sz w:val="14"/>
                <w:szCs w:val="14"/>
              </w:rPr>
              <w:br/>
              <w:t>СП (1,47 руб.): 50%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0,029</w:t>
            </w:r>
            <w:r w:rsidRPr="0019653D">
              <w:rPr>
                <w:rFonts w:ascii="Arial" w:hAnsi="Arial" w:cs="Arial"/>
                <w:i/>
                <w:iCs/>
                <w:sz w:val="14"/>
                <w:szCs w:val="14"/>
              </w:rPr>
              <w:br/>
              <w:t>(290*0,1) / 1000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592,23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592,23</w:t>
            </w:r>
            <w:r w:rsidRPr="0019653D">
              <w:rPr>
                <w:rFonts w:ascii="Arial" w:hAnsi="Arial" w:cs="Arial"/>
                <w:sz w:val="16"/>
                <w:szCs w:val="16"/>
              </w:rPr>
              <w:br/>
              <w:t>101,12</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17,17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17,17</w:t>
            </w:r>
            <w:r w:rsidRPr="0019653D">
              <w:rPr>
                <w:rFonts w:ascii="Arial" w:hAnsi="Arial" w:cs="Arial"/>
                <w:sz w:val="16"/>
                <w:szCs w:val="16"/>
              </w:rPr>
              <w:br/>
              <w:t>2,93</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3</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ФЕР01-01-013-08</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Разработка грунта с погрузкой на автомобили-самосвалы экскаваторами с ковшом вместимостью: 0,65 (0,5-1) м3, группа грунтов 2</w:t>
            </w:r>
            <w:r w:rsidRPr="0019653D">
              <w:rPr>
                <w:rFonts w:ascii="Arial" w:hAnsi="Arial" w:cs="Arial"/>
                <w:sz w:val="18"/>
                <w:szCs w:val="18"/>
              </w:rPr>
              <w:br/>
              <w:t>(1000 м3 грунта)</w:t>
            </w:r>
            <w:r w:rsidRPr="0019653D">
              <w:rPr>
                <w:rFonts w:ascii="Arial" w:hAnsi="Arial" w:cs="Arial"/>
                <w:i/>
                <w:iCs/>
                <w:sz w:val="14"/>
                <w:szCs w:val="14"/>
              </w:rPr>
              <w:br/>
              <w:t>НР (15,53 руб.): 100% от ФОТ</w:t>
            </w:r>
            <w:r w:rsidRPr="0019653D">
              <w:rPr>
                <w:rFonts w:ascii="Arial" w:hAnsi="Arial" w:cs="Arial"/>
                <w:i/>
                <w:iCs/>
                <w:sz w:val="14"/>
                <w:szCs w:val="14"/>
              </w:rPr>
              <w:br/>
              <w:t>СП (7,77 руб.): 50%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0,029</w:t>
            </w:r>
            <w:r w:rsidRPr="0019653D">
              <w:rPr>
                <w:rFonts w:ascii="Arial" w:hAnsi="Arial" w:cs="Arial"/>
                <w:i/>
                <w:iCs/>
                <w:sz w:val="14"/>
                <w:szCs w:val="14"/>
              </w:rPr>
              <w:br/>
              <w:t>(290*0,1) / 1000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3623,82</w:t>
            </w:r>
            <w:r w:rsidRPr="0019653D">
              <w:rPr>
                <w:rFonts w:ascii="Arial" w:hAnsi="Arial" w:cs="Arial"/>
                <w:sz w:val="16"/>
                <w:szCs w:val="16"/>
              </w:rPr>
              <w:br/>
              <w:t>89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3530,48</w:t>
            </w:r>
            <w:r w:rsidRPr="0019653D">
              <w:rPr>
                <w:rFonts w:ascii="Arial" w:hAnsi="Arial" w:cs="Arial"/>
                <w:sz w:val="16"/>
                <w:szCs w:val="16"/>
              </w:rPr>
              <w:br/>
              <w:t>446,72</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4,34</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105,09</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2,58</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102,38</w:t>
            </w:r>
            <w:r w:rsidRPr="0019653D">
              <w:rPr>
                <w:rFonts w:ascii="Arial" w:hAnsi="Arial" w:cs="Arial"/>
                <w:sz w:val="16"/>
                <w:szCs w:val="16"/>
              </w:rPr>
              <w:br/>
              <w:t>12,95</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0,13</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11,41</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0,33</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4</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ФССЦпг-03-21-01-009</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19653D">
              <w:rPr>
                <w:rFonts w:ascii="Arial" w:hAnsi="Arial" w:cs="Arial"/>
                <w:sz w:val="18"/>
                <w:szCs w:val="18"/>
              </w:rPr>
              <w:br/>
              <w:t>(1 т груза)</w:t>
            </w:r>
            <w:r w:rsidRPr="0019653D">
              <w:rPr>
                <w:rFonts w:ascii="Arial" w:hAnsi="Arial" w:cs="Arial"/>
                <w:i/>
                <w:iCs/>
                <w:sz w:val="14"/>
                <w:szCs w:val="14"/>
              </w:rPr>
              <w:br/>
              <w:t>НР 0% от ФОТ</w:t>
            </w:r>
            <w:r w:rsidRPr="0019653D">
              <w:rPr>
                <w:rFonts w:ascii="Arial" w:hAnsi="Arial" w:cs="Arial"/>
                <w:i/>
                <w:iCs/>
                <w:sz w:val="14"/>
                <w:szCs w:val="14"/>
              </w:rPr>
              <w:br/>
              <w:t>СП 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46,4</w:t>
            </w:r>
            <w:r w:rsidRPr="0019653D">
              <w:rPr>
                <w:rFonts w:ascii="Arial" w:hAnsi="Arial" w:cs="Arial"/>
                <w:i/>
                <w:iCs/>
                <w:sz w:val="14"/>
                <w:szCs w:val="14"/>
              </w:rPr>
              <w:br/>
              <w:t>290*0,1*1,6</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10,47</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485,81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485,81</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608,07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2,58</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605,36</w:t>
            </w:r>
            <w:r w:rsidRPr="0019653D">
              <w:rPr>
                <w:rFonts w:ascii="Arial" w:hAnsi="Arial" w:cs="Arial"/>
                <w:sz w:val="16"/>
                <w:szCs w:val="16"/>
              </w:rPr>
              <w:br/>
              <w:t>15,88</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0,13</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0,33</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18,46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9,23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2 Подготовительные работы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Земляные работы, выполняемые механизированным способом</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149,95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0,33</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Перевозка грузов автотранспортом</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485,81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635,76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0,33</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0,13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605,36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lastRenderedPageBreak/>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18,46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18,46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9,23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Итого по разделу 2 Подготовительные работы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635,76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0,33</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3. Тротуар</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5</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ФЕР27-04-001-01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Устройство подстилающих и выравнивающих слоев оснований: из песка</w:t>
            </w:r>
            <w:r w:rsidRPr="0019653D">
              <w:rPr>
                <w:rFonts w:ascii="Arial" w:hAnsi="Arial" w:cs="Arial"/>
                <w:sz w:val="18"/>
                <w:szCs w:val="18"/>
              </w:rPr>
              <w:br/>
              <w:t>(100 м3 материала основания (в плотном теле))</w:t>
            </w:r>
            <w:r w:rsidRPr="0019653D">
              <w:rPr>
                <w:rFonts w:ascii="Arial" w:hAnsi="Arial" w:cs="Arial"/>
                <w:i/>
                <w:iCs/>
                <w:sz w:val="14"/>
                <w:szCs w:val="14"/>
              </w:rPr>
              <w:br/>
              <w:t>НР (262,37 руб.): 149% от ФОТ</w:t>
            </w:r>
            <w:r w:rsidRPr="0019653D">
              <w:rPr>
                <w:rFonts w:ascii="Arial" w:hAnsi="Arial" w:cs="Arial"/>
                <w:i/>
                <w:iCs/>
                <w:sz w:val="14"/>
                <w:szCs w:val="14"/>
              </w:rPr>
              <w:br/>
              <w:t>СП (167,29 руб.): 95%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0,58</w:t>
            </w:r>
            <w:r w:rsidRPr="0019653D">
              <w:rPr>
                <w:rFonts w:ascii="Arial" w:hAnsi="Arial" w:cs="Arial"/>
                <w:i/>
                <w:iCs/>
                <w:sz w:val="14"/>
                <w:szCs w:val="14"/>
              </w:rPr>
              <w:br/>
              <w:t>58 / 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2281,99</w:t>
            </w:r>
            <w:r w:rsidRPr="0019653D">
              <w:rPr>
                <w:rFonts w:ascii="Arial" w:hAnsi="Arial" w:cs="Arial"/>
                <w:sz w:val="16"/>
                <w:szCs w:val="16"/>
              </w:rPr>
              <w:br/>
              <w:t>126,07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2143,72</w:t>
            </w:r>
            <w:r w:rsidRPr="0019653D">
              <w:rPr>
                <w:rFonts w:ascii="Arial" w:hAnsi="Arial" w:cs="Arial"/>
                <w:sz w:val="16"/>
                <w:szCs w:val="16"/>
              </w:rPr>
              <w:br/>
              <w:t>177,53</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12,2</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1323,55</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73,12</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1243,36</w:t>
            </w:r>
            <w:r w:rsidRPr="0019653D">
              <w:rPr>
                <w:rFonts w:ascii="Arial" w:hAnsi="Arial" w:cs="Arial"/>
                <w:sz w:val="16"/>
                <w:szCs w:val="16"/>
              </w:rPr>
              <w:br/>
              <w:t>102,97</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7,07</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15,72</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9,12</w:t>
            </w:r>
          </w:p>
        </w:tc>
      </w:tr>
      <w:tr w:rsidR="0019653D" w:rsidRPr="0019653D" w:rsidTr="0019653D">
        <w:trPr>
          <w:trHeight w:val="72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6</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ФССЦ-408-0122</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Песок природный для строительных: работ средний</w:t>
            </w:r>
            <w:r w:rsidRPr="0019653D">
              <w:rPr>
                <w:rFonts w:ascii="Arial" w:hAnsi="Arial" w:cs="Arial"/>
                <w:sz w:val="18"/>
                <w:szCs w:val="18"/>
              </w:rPr>
              <w:br/>
              <w:t>(м3)</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63,8</w:t>
            </w:r>
            <w:r w:rsidRPr="0019653D">
              <w:rPr>
                <w:rFonts w:ascii="Arial" w:hAnsi="Arial" w:cs="Arial"/>
                <w:i/>
                <w:iCs/>
                <w:sz w:val="14"/>
                <w:szCs w:val="14"/>
              </w:rPr>
              <w:br/>
              <w:t>58*1,1</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55,26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55,26</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3525,59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3525,59</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7</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ФЕР27-04-003-01</w:t>
            </w:r>
            <w:r w:rsidRPr="0019653D">
              <w:rPr>
                <w:rFonts w:ascii="Arial" w:hAnsi="Arial" w:cs="Arial"/>
                <w:i/>
                <w:iCs/>
                <w:sz w:val="18"/>
                <w:szCs w:val="18"/>
              </w:rPr>
              <w:br/>
              <w:t>Применительно</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Устройство оснований и покрытий из песчано-гравийных или щебеночно-песчаных смесей: однослойных толщиной 10 см</w:t>
            </w:r>
            <w:r w:rsidRPr="0019653D">
              <w:rPr>
                <w:rFonts w:ascii="Arial" w:hAnsi="Arial" w:cs="Arial"/>
                <w:sz w:val="18"/>
                <w:szCs w:val="18"/>
              </w:rPr>
              <w:br/>
              <w:t>(1000 м2 основания или покрытия)</w:t>
            </w:r>
            <w:r w:rsidRPr="0019653D">
              <w:rPr>
                <w:rFonts w:ascii="Arial" w:hAnsi="Arial" w:cs="Arial"/>
                <w:i/>
                <w:iCs/>
                <w:sz w:val="14"/>
                <w:szCs w:val="14"/>
              </w:rPr>
              <w:br/>
              <w:t>НР (185,68 руб.): 149% от ФОТ</w:t>
            </w:r>
            <w:r w:rsidRPr="0019653D">
              <w:rPr>
                <w:rFonts w:ascii="Arial" w:hAnsi="Arial" w:cs="Arial"/>
                <w:i/>
                <w:iCs/>
                <w:sz w:val="14"/>
                <w:szCs w:val="14"/>
              </w:rPr>
              <w:br/>
              <w:t>СП (118,39 руб.): 95%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0,174</w:t>
            </w:r>
            <w:r w:rsidRPr="0019653D">
              <w:rPr>
                <w:rFonts w:ascii="Arial" w:hAnsi="Arial" w:cs="Arial"/>
                <w:i/>
                <w:iCs/>
                <w:sz w:val="14"/>
                <w:szCs w:val="14"/>
              </w:rPr>
              <w:br/>
              <w:t>174/1000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3120,28</w:t>
            </w:r>
            <w:r w:rsidRPr="0019653D">
              <w:rPr>
                <w:rFonts w:ascii="Arial" w:hAnsi="Arial" w:cs="Arial"/>
                <w:sz w:val="16"/>
                <w:szCs w:val="16"/>
              </w:rPr>
              <w:br/>
              <w:t>386,99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2707,67</w:t>
            </w:r>
            <w:r w:rsidRPr="0019653D">
              <w:rPr>
                <w:rFonts w:ascii="Arial" w:hAnsi="Arial" w:cs="Arial"/>
                <w:sz w:val="16"/>
                <w:szCs w:val="16"/>
              </w:rPr>
              <w:br/>
              <w:t>329,17</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25,62</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542,93</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67,34</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471,13</w:t>
            </w:r>
            <w:r w:rsidRPr="0019653D">
              <w:rPr>
                <w:rFonts w:ascii="Arial" w:hAnsi="Arial" w:cs="Arial"/>
                <w:sz w:val="16"/>
                <w:szCs w:val="16"/>
              </w:rPr>
              <w:br/>
              <w:t>57,28</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4,46</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46,18</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8,04</w:t>
            </w:r>
          </w:p>
        </w:tc>
      </w:tr>
      <w:tr w:rsidR="0019653D" w:rsidRPr="0019653D" w:rsidTr="0019653D">
        <w:trPr>
          <w:trHeight w:val="96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8</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ФССЦ-408-0261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Смеси готовые щебеночно-песчаные (ГОСТ 25607-2009) номер: С1, размер зерен 0-40 мм</w:t>
            </w:r>
            <w:r w:rsidRPr="0019653D">
              <w:rPr>
                <w:rFonts w:ascii="Arial" w:hAnsi="Arial" w:cs="Arial"/>
                <w:sz w:val="18"/>
                <w:szCs w:val="18"/>
              </w:rPr>
              <w:br/>
              <w:t>(м3)</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22,098</w:t>
            </w:r>
            <w:r w:rsidRPr="0019653D">
              <w:rPr>
                <w:rFonts w:ascii="Arial" w:hAnsi="Arial" w:cs="Arial"/>
                <w:i/>
                <w:iCs/>
                <w:sz w:val="14"/>
                <w:szCs w:val="14"/>
              </w:rPr>
              <w:br/>
              <w:t>17,4*1,27</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165,83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165,83</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3664,51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3664,51</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9</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ФЕР27-06-001-03</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Устройство дорожных покрытий из сборных прямоугольных железобетонных плит площадью: до 10,5 м2</w:t>
            </w:r>
            <w:r w:rsidRPr="0019653D">
              <w:rPr>
                <w:rFonts w:ascii="Arial" w:hAnsi="Arial" w:cs="Arial"/>
                <w:sz w:val="18"/>
                <w:szCs w:val="18"/>
              </w:rPr>
              <w:br/>
              <w:t>(100 м3 сборных железобетонных плит)</w:t>
            </w:r>
            <w:r w:rsidRPr="0019653D">
              <w:rPr>
                <w:rFonts w:ascii="Arial" w:hAnsi="Arial" w:cs="Arial"/>
                <w:i/>
                <w:iCs/>
                <w:sz w:val="14"/>
                <w:szCs w:val="14"/>
              </w:rPr>
              <w:br/>
              <w:t>НР (693,6 руб.): 149% от ФОТ</w:t>
            </w:r>
            <w:r w:rsidRPr="0019653D">
              <w:rPr>
                <w:rFonts w:ascii="Arial" w:hAnsi="Arial" w:cs="Arial"/>
                <w:i/>
                <w:iCs/>
                <w:sz w:val="14"/>
                <w:szCs w:val="14"/>
              </w:rPr>
              <w:br/>
              <w:t>СП (442,23 руб.): 95%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0,2394</w:t>
            </w:r>
            <w:r w:rsidRPr="0019653D">
              <w:rPr>
                <w:rFonts w:ascii="Arial" w:hAnsi="Arial" w:cs="Arial"/>
                <w:i/>
                <w:iCs/>
                <w:sz w:val="14"/>
                <w:szCs w:val="14"/>
              </w:rPr>
              <w:br/>
              <w:t>(0,63*38) / 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11801,49</w:t>
            </w:r>
            <w:r w:rsidRPr="0019653D">
              <w:rPr>
                <w:rFonts w:ascii="Arial" w:hAnsi="Arial" w:cs="Arial"/>
                <w:sz w:val="16"/>
                <w:szCs w:val="16"/>
              </w:rPr>
              <w:br/>
              <w:t>1311,49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8451</w:t>
            </w:r>
            <w:r w:rsidRPr="0019653D">
              <w:rPr>
                <w:rFonts w:ascii="Arial" w:hAnsi="Arial" w:cs="Arial"/>
                <w:sz w:val="16"/>
                <w:szCs w:val="16"/>
              </w:rPr>
              <w:br/>
              <w:t>632,97</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2039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2825,28</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313,97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2023,17</w:t>
            </w:r>
            <w:r w:rsidRPr="0019653D">
              <w:rPr>
                <w:rFonts w:ascii="Arial" w:hAnsi="Arial" w:cs="Arial"/>
                <w:sz w:val="16"/>
                <w:szCs w:val="16"/>
              </w:rPr>
              <w:br/>
              <w:t>151,53</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488,14</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139,52</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33,4</w:t>
            </w:r>
          </w:p>
        </w:tc>
      </w:tr>
      <w:tr w:rsidR="0019653D" w:rsidRPr="0019653D" w:rsidTr="0019653D">
        <w:trPr>
          <w:trHeight w:val="585"/>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10</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прайс-лист</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Плита 3х1,5</w:t>
            </w:r>
            <w:r w:rsidRPr="0019653D">
              <w:rPr>
                <w:rFonts w:ascii="Arial" w:hAnsi="Arial" w:cs="Arial"/>
                <w:sz w:val="18"/>
                <w:szCs w:val="18"/>
              </w:rPr>
              <w:br/>
              <w:t>(шт)</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38</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603,41</w:t>
            </w:r>
            <w:r w:rsidRPr="0019653D">
              <w:rPr>
                <w:rFonts w:ascii="Arial" w:hAnsi="Arial" w:cs="Arial"/>
                <w:i/>
                <w:iCs/>
                <w:sz w:val="12"/>
                <w:szCs w:val="12"/>
              </w:rPr>
              <w:br/>
              <w:t>6200,00/1,18/9,23*1,06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603,41</w:t>
            </w:r>
            <w:r w:rsidRPr="0019653D">
              <w:rPr>
                <w:rFonts w:ascii="Arial" w:hAnsi="Arial" w:cs="Arial"/>
                <w:i/>
                <w:iCs/>
                <w:sz w:val="12"/>
                <w:szCs w:val="12"/>
              </w:rPr>
              <w:br/>
              <w:t>6200,00/1,18/9,23*1,06</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22929,58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22929,58</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lastRenderedPageBreak/>
              <w:t>11</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ФЕР06-01-001-01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Устройство бетонной подготовки</w:t>
            </w:r>
            <w:r w:rsidRPr="0019653D">
              <w:rPr>
                <w:rFonts w:ascii="Arial" w:hAnsi="Arial" w:cs="Arial"/>
                <w:sz w:val="18"/>
                <w:szCs w:val="18"/>
              </w:rPr>
              <w:br/>
              <w:t>(100 м3 бетона, бутобетона и железобетона в деле)</w:t>
            </w:r>
            <w:r w:rsidRPr="0019653D">
              <w:rPr>
                <w:rFonts w:ascii="Arial" w:hAnsi="Arial" w:cs="Arial"/>
                <w:i/>
                <w:iCs/>
                <w:sz w:val="14"/>
                <w:szCs w:val="14"/>
              </w:rPr>
              <w:br/>
              <w:t>НР (7,25 руб.): 110% от ФОТ</w:t>
            </w:r>
            <w:r w:rsidRPr="0019653D">
              <w:rPr>
                <w:rFonts w:ascii="Arial" w:hAnsi="Arial" w:cs="Arial"/>
                <w:i/>
                <w:iCs/>
                <w:sz w:val="14"/>
                <w:szCs w:val="14"/>
              </w:rPr>
              <w:br/>
              <w:t>СП (4,28 руб.): 65%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0,004</w:t>
            </w:r>
            <w:r w:rsidRPr="0019653D">
              <w:rPr>
                <w:rFonts w:ascii="Arial" w:hAnsi="Arial" w:cs="Arial"/>
                <w:i/>
                <w:iCs/>
                <w:sz w:val="14"/>
                <w:szCs w:val="14"/>
              </w:rPr>
              <w:br/>
              <w:t>4*0,1/100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58585,02</w:t>
            </w:r>
            <w:r w:rsidRPr="0019653D">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1590,53</w:t>
            </w:r>
            <w:r w:rsidRPr="0019653D">
              <w:rPr>
                <w:rFonts w:ascii="Arial" w:hAnsi="Arial" w:cs="Arial"/>
                <w:sz w:val="16"/>
                <w:szCs w:val="16"/>
              </w:rPr>
              <w:br/>
              <w:t>243</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55590,49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234,34</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5,62</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6,36</w:t>
            </w:r>
            <w:r w:rsidRPr="0019653D">
              <w:rPr>
                <w:rFonts w:ascii="Arial" w:hAnsi="Arial" w:cs="Arial"/>
                <w:sz w:val="16"/>
                <w:szCs w:val="16"/>
              </w:rPr>
              <w:br/>
              <w:t>0,97</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222,36</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180</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0,72</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35045,78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460,05</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3744,02</w:t>
            </w:r>
            <w:r w:rsidRPr="0019653D">
              <w:rPr>
                <w:rFonts w:ascii="Arial" w:hAnsi="Arial" w:cs="Arial"/>
                <w:sz w:val="16"/>
                <w:szCs w:val="16"/>
              </w:rPr>
              <w:br/>
              <w:t>312,75</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30841,71</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51,28</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1148,9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732,18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3 Тротуар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Автомобильные дороги</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13751,41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50,56</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22929,58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522"/>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245,87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0,72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36926,86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51,28</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30841,71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3744,02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772,8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1148,9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732,18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Итого по разделу 3 Тротуар</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36926,86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51,28</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4. Устройство пешеходного перехода</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Разметка</w:t>
            </w:r>
          </w:p>
        </w:tc>
      </w:tr>
      <w:tr w:rsidR="0019653D" w:rsidRPr="0019653D" w:rsidTr="0019653D">
        <w:trPr>
          <w:trHeight w:val="2265"/>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12</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ФЕР27-09-031-01</w:t>
            </w:r>
            <w:r w:rsidRPr="0019653D">
              <w:rPr>
                <w:rFonts w:ascii="Arial" w:hAnsi="Arial" w:cs="Arial"/>
                <w:i/>
                <w:iCs/>
                <w:sz w:val="18"/>
                <w:szCs w:val="18"/>
              </w:rPr>
              <w:br/>
              <w:t>Применительно</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Разметка пешеходных переходов - Нанесение линии поперечной дорожной разметки холодным пластиком со световозвращающими элементами вручную с применением трафаретной самоклеящейся ленты</w:t>
            </w:r>
            <w:r w:rsidRPr="0019653D">
              <w:rPr>
                <w:rFonts w:ascii="Arial" w:hAnsi="Arial" w:cs="Arial"/>
                <w:sz w:val="18"/>
                <w:szCs w:val="18"/>
              </w:rPr>
              <w:br/>
              <w:t>(10 м2 разметки)</w:t>
            </w:r>
            <w:r w:rsidRPr="0019653D">
              <w:rPr>
                <w:rFonts w:ascii="Arial" w:hAnsi="Arial" w:cs="Arial"/>
                <w:i/>
                <w:iCs/>
                <w:sz w:val="14"/>
                <w:szCs w:val="14"/>
              </w:rPr>
              <w:br/>
              <w:t>314,16 = 2 551,71 - 55,55 x 40,28</w:t>
            </w:r>
            <w:r w:rsidRPr="0019653D">
              <w:rPr>
                <w:rFonts w:ascii="Arial" w:hAnsi="Arial" w:cs="Arial"/>
                <w:i/>
                <w:iCs/>
                <w:sz w:val="14"/>
                <w:szCs w:val="14"/>
              </w:rPr>
              <w:br/>
              <w:t>НР (153,34 руб.): 149% от ФОТ</w:t>
            </w:r>
            <w:r w:rsidRPr="0019653D">
              <w:rPr>
                <w:rFonts w:ascii="Arial" w:hAnsi="Arial" w:cs="Arial"/>
                <w:i/>
                <w:iCs/>
                <w:sz w:val="14"/>
                <w:szCs w:val="14"/>
              </w:rPr>
              <w:br/>
              <w:t>СП (97,76 руб.): 95%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1,92</w:t>
            </w:r>
            <w:r w:rsidRPr="0019653D">
              <w:rPr>
                <w:rFonts w:ascii="Arial" w:hAnsi="Arial" w:cs="Arial"/>
                <w:i/>
                <w:iCs/>
                <w:sz w:val="14"/>
                <w:szCs w:val="14"/>
              </w:rPr>
              <w:br/>
              <w:t>19,2/10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314,16</w:t>
            </w:r>
            <w:r w:rsidRPr="0019653D">
              <w:rPr>
                <w:rFonts w:ascii="Arial" w:hAnsi="Arial" w:cs="Arial"/>
                <w:sz w:val="16"/>
                <w:szCs w:val="16"/>
              </w:rPr>
              <w:br/>
              <w:t>53,6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260,56</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603,19</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102,91</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500,28</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5,25</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10,08</w:t>
            </w:r>
          </w:p>
        </w:tc>
      </w:tr>
      <w:tr w:rsidR="0019653D" w:rsidRPr="0019653D" w:rsidTr="0019653D">
        <w:trPr>
          <w:trHeight w:val="72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13</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ФССЦ-101-3026</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Краска разметочная дорожная: АК-503 "Колор-М", белая</w:t>
            </w:r>
            <w:r w:rsidRPr="0019653D">
              <w:rPr>
                <w:rFonts w:ascii="Arial" w:hAnsi="Arial" w:cs="Arial"/>
                <w:sz w:val="18"/>
                <w:szCs w:val="18"/>
              </w:rPr>
              <w:br/>
              <w:t>(т)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0,00768</w:t>
            </w:r>
            <w:r w:rsidRPr="0019653D">
              <w:rPr>
                <w:rFonts w:ascii="Arial" w:hAnsi="Arial" w:cs="Arial"/>
                <w:i/>
                <w:iCs/>
                <w:sz w:val="14"/>
                <w:szCs w:val="14"/>
              </w:rPr>
              <w:br/>
              <w:t>7,68/1000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30571,12</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30571,12</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234,79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234,79</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72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lastRenderedPageBreak/>
              <w:t>14</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ФССЦ-101-3027</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Краска разметочная дорожная: АК-503 "Колор-М", желтая</w:t>
            </w:r>
            <w:r w:rsidRPr="0019653D">
              <w:rPr>
                <w:rFonts w:ascii="Arial" w:hAnsi="Arial" w:cs="Arial"/>
                <w:sz w:val="18"/>
                <w:szCs w:val="18"/>
              </w:rPr>
              <w:br/>
              <w:t>(т)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0,00768</w:t>
            </w:r>
            <w:r w:rsidRPr="0019653D">
              <w:rPr>
                <w:rFonts w:ascii="Arial" w:hAnsi="Arial" w:cs="Arial"/>
                <w:i/>
                <w:iCs/>
                <w:sz w:val="14"/>
                <w:szCs w:val="14"/>
              </w:rPr>
              <w:br/>
              <w:t>7,68/1000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34591,03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34591,03</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265,66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265,66</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Установка дорожных знаков</w:t>
            </w:r>
          </w:p>
        </w:tc>
      </w:tr>
      <w:tr w:rsidR="0019653D" w:rsidRPr="0019653D" w:rsidTr="0019653D">
        <w:trPr>
          <w:trHeight w:val="135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15</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ФЕР27-09-008-01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Установка дорожных знаков бесфундаментных: на металлических стойках</w:t>
            </w:r>
            <w:r w:rsidRPr="0019653D">
              <w:rPr>
                <w:rFonts w:ascii="Arial" w:hAnsi="Arial" w:cs="Arial"/>
                <w:sz w:val="18"/>
                <w:szCs w:val="18"/>
              </w:rPr>
              <w:br/>
              <w:t>(100 знаков)</w:t>
            </w:r>
            <w:r w:rsidRPr="0019653D">
              <w:rPr>
                <w:rFonts w:ascii="Arial" w:hAnsi="Arial" w:cs="Arial"/>
                <w:i/>
                <w:iCs/>
                <w:sz w:val="14"/>
                <w:szCs w:val="14"/>
              </w:rPr>
              <w:br/>
              <w:t>НР (199,2 руб.): 149% от ФОТ</w:t>
            </w:r>
            <w:r w:rsidRPr="0019653D">
              <w:rPr>
                <w:rFonts w:ascii="Arial" w:hAnsi="Arial" w:cs="Arial"/>
                <w:i/>
                <w:iCs/>
                <w:sz w:val="14"/>
                <w:szCs w:val="14"/>
              </w:rPr>
              <w:br/>
              <w:t>СП (127,01 руб.): 95%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0,04</w:t>
            </w:r>
            <w:r w:rsidRPr="0019653D">
              <w:rPr>
                <w:rFonts w:ascii="Arial" w:hAnsi="Arial" w:cs="Arial"/>
                <w:i/>
                <w:iCs/>
                <w:sz w:val="14"/>
                <w:szCs w:val="14"/>
              </w:rPr>
              <w:br/>
              <w:t>4/100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7568,86</w:t>
            </w:r>
            <w:r w:rsidRPr="0019653D">
              <w:rPr>
                <w:rFonts w:ascii="Arial" w:hAnsi="Arial" w:cs="Arial"/>
                <w:sz w:val="16"/>
                <w:szCs w:val="16"/>
              </w:rPr>
              <w:br/>
              <w:t>3111,74</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2740,23</w:t>
            </w:r>
            <w:r w:rsidRPr="0019653D">
              <w:rPr>
                <w:rFonts w:ascii="Arial" w:hAnsi="Arial" w:cs="Arial"/>
                <w:sz w:val="16"/>
                <w:szCs w:val="16"/>
              </w:rPr>
              <w:br/>
              <w:t>230,48</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1716,89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302,75</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124,47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109,61</w:t>
            </w:r>
            <w:r w:rsidRPr="0019653D">
              <w:rPr>
                <w:rFonts w:ascii="Arial" w:hAnsi="Arial" w:cs="Arial"/>
                <w:sz w:val="16"/>
                <w:szCs w:val="16"/>
              </w:rPr>
              <w:br/>
              <w:t>9,22</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68,67</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364,8</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14,59</w:t>
            </w:r>
          </w:p>
        </w:tc>
      </w:tr>
      <w:tr w:rsidR="0019653D" w:rsidRPr="0019653D" w:rsidTr="0019653D">
        <w:trPr>
          <w:trHeight w:val="144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16</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ФССЦ-103-0356</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Трубы стальные бесшовные, горячедеформированные со снятой фаской из стали марок 15, 20, 25, наружным диаметром: 57 мм, толщина стенки 3 мм</w:t>
            </w:r>
            <w:r w:rsidRPr="0019653D">
              <w:rPr>
                <w:rFonts w:ascii="Arial" w:hAnsi="Arial" w:cs="Arial"/>
                <w:sz w:val="18"/>
                <w:szCs w:val="18"/>
              </w:rPr>
              <w:br/>
              <w:t>(м)</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16</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36,59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36,59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585,44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585,44</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72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17</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прайс-лист</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Дорожный знак 5.19 "Пешеходный переход"</w:t>
            </w:r>
            <w:r w:rsidRPr="0019653D">
              <w:rPr>
                <w:rFonts w:ascii="Arial" w:hAnsi="Arial" w:cs="Arial"/>
                <w:sz w:val="18"/>
                <w:szCs w:val="18"/>
              </w:rPr>
              <w:br/>
              <w:t>(шт)</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8</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232,56</w:t>
            </w:r>
            <w:r w:rsidRPr="0019653D">
              <w:rPr>
                <w:rFonts w:ascii="Arial" w:hAnsi="Arial" w:cs="Arial"/>
                <w:i/>
                <w:iCs/>
                <w:sz w:val="12"/>
                <w:szCs w:val="12"/>
              </w:rPr>
              <w:br/>
              <w:t>2025,00/9,23*1,06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232,56</w:t>
            </w:r>
            <w:r w:rsidRPr="0019653D">
              <w:rPr>
                <w:rFonts w:ascii="Arial" w:hAnsi="Arial" w:cs="Arial"/>
                <w:i/>
                <w:iCs/>
                <w:sz w:val="12"/>
                <w:szCs w:val="12"/>
              </w:rPr>
              <w:br/>
              <w:t>2025,00/9,23*1,06</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1860,48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1860,48</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18</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ФЕР06-01-001-01</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Устройство бетонной подготовки</w:t>
            </w:r>
            <w:r w:rsidRPr="0019653D">
              <w:rPr>
                <w:rFonts w:ascii="Arial" w:hAnsi="Arial" w:cs="Arial"/>
                <w:sz w:val="18"/>
                <w:szCs w:val="18"/>
              </w:rPr>
              <w:br/>
              <w:t>(100 м3 бетона, бутобетона и железобетона в деле)</w:t>
            </w:r>
            <w:r w:rsidRPr="0019653D">
              <w:rPr>
                <w:rFonts w:ascii="Arial" w:hAnsi="Arial" w:cs="Arial"/>
                <w:i/>
                <w:iCs/>
                <w:sz w:val="14"/>
                <w:szCs w:val="14"/>
              </w:rPr>
              <w:br/>
              <w:t>НР (3,27 руб.): 110% от ФОТ</w:t>
            </w:r>
            <w:r w:rsidRPr="0019653D">
              <w:rPr>
                <w:rFonts w:ascii="Arial" w:hAnsi="Arial" w:cs="Arial"/>
                <w:i/>
                <w:iCs/>
                <w:sz w:val="14"/>
                <w:szCs w:val="14"/>
              </w:rPr>
              <w:br/>
              <w:t>СП (1,93 руб.): 65%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0,0018</w:t>
            </w:r>
            <w:r w:rsidRPr="0019653D">
              <w:rPr>
                <w:rFonts w:ascii="Arial" w:hAnsi="Arial" w:cs="Arial"/>
                <w:i/>
                <w:iCs/>
                <w:sz w:val="14"/>
                <w:szCs w:val="14"/>
              </w:rPr>
              <w:br/>
              <w:t>0,045*4/100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58585,02</w:t>
            </w:r>
            <w:r w:rsidRPr="0019653D">
              <w:rPr>
                <w:rFonts w:ascii="Arial" w:hAnsi="Arial" w:cs="Arial"/>
                <w:sz w:val="16"/>
                <w:szCs w:val="16"/>
              </w:rPr>
              <w:br/>
              <w:t>1404</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1590,53</w:t>
            </w:r>
            <w:r w:rsidRPr="0019653D">
              <w:rPr>
                <w:rFonts w:ascii="Arial" w:hAnsi="Arial" w:cs="Arial"/>
                <w:sz w:val="16"/>
                <w:szCs w:val="16"/>
              </w:rPr>
              <w:br/>
              <w:t>243</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55590,49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105,45</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2,53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2,86</w:t>
            </w:r>
            <w:r w:rsidRPr="0019653D">
              <w:rPr>
                <w:rFonts w:ascii="Arial" w:hAnsi="Arial" w:cs="Arial"/>
                <w:sz w:val="16"/>
                <w:szCs w:val="16"/>
              </w:rPr>
              <w:br/>
              <w:t>0,44</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100,06</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180</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0,32</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3957,76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229,91</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112,47</w:t>
            </w:r>
            <w:r w:rsidRPr="0019653D">
              <w:rPr>
                <w:rFonts w:ascii="Arial" w:hAnsi="Arial" w:cs="Arial"/>
                <w:sz w:val="16"/>
                <w:szCs w:val="16"/>
              </w:rPr>
              <w:br/>
              <w:t>9,66</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3615,38</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24,99</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226,7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4 Устройство пешеходного перехода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Автомобильные дороги</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2569,13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24,67</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1860,48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522"/>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110,65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4540,26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24,99</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3615,38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112,47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239,57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226,7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lastRenderedPageBreak/>
              <w:t xml:space="preserve">  Итого по разделу 4 Устройство пешеходного перехода</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4540,26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24,99</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5. Озеленение</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19</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ФЕР47-01-046-04</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вручную</w:t>
            </w:r>
            <w:r w:rsidRPr="0019653D">
              <w:rPr>
                <w:rFonts w:ascii="Arial" w:hAnsi="Arial" w:cs="Arial"/>
                <w:sz w:val="18"/>
                <w:szCs w:val="18"/>
              </w:rPr>
              <w:br/>
              <w:t>(100 м2)</w:t>
            </w:r>
            <w:r w:rsidRPr="0019653D">
              <w:rPr>
                <w:rFonts w:ascii="Arial" w:hAnsi="Arial" w:cs="Arial"/>
                <w:i/>
                <w:iCs/>
                <w:sz w:val="14"/>
                <w:szCs w:val="14"/>
              </w:rPr>
              <w:br/>
              <w:t>НР (88,39 руб.): 121% от ФОТ</w:t>
            </w:r>
            <w:r w:rsidRPr="0019653D">
              <w:rPr>
                <w:rFonts w:ascii="Arial" w:hAnsi="Arial" w:cs="Arial"/>
                <w:i/>
                <w:iCs/>
                <w:sz w:val="14"/>
                <w:szCs w:val="14"/>
              </w:rPr>
              <w:br/>
              <w:t>СП (65,75 руб.): 90%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0,23</w:t>
            </w:r>
            <w:r w:rsidRPr="0019653D">
              <w:rPr>
                <w:rFonts w:ascii="Arial" w:hAnsi="Arial" w:cs="Arial"/>
                <w:i/>
                <w:iCs/>
                <w:sz w:val="14"/>
                <w:szCs w:val="14"/>
              </w:rPr>
              <w:br/>
              <w:t>23/100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2296,1</w:t>
            </w:r>
            <w:r w:rsidRPr="0019653D">
              <w:rPr>
                <w:rFonts w:ascii="Arial" w:hAnsi="Arial" w:cs="Arial"/>
                <w:sz w:val="16"/>
                <w:szCs w:val="16"/>
              </w:rPr>
              <w:br/>
              <w:t>317,6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1978,5</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528,1</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73,05</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455,05</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40</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9,2</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20</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ФЕР47-01-046-05</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 каждые 5 см изменения толщины слоя добавлять или исключать к расценкам с 47-01-046-01 по 47-01-046-04</w:t>
            </w:r>
            <w:r w:rsidRPr="0019653D">
              <w:rPr>
                <w:rFonts w:ascii="Arial" w:hAnsi="Arial" w:cs="Arial"/>
                <w:sz w:val="18"/>
                <w:szCs w:val="18"/>
              </w:rPr>
              <w:br/>
              <w:t>(100 м2)</w:t>
            </w:r>
            <w:r w:rsidRPr="0019653D">
              <w:rPr>
                <w:rFonts w:ascii="Arial" w:hAnsi="Arial" w:cs="Arial"/>
                <w:i/>
                <w:iCs/>
                <w:sz w:val="14"/>
                <w:szCs w:val="14"/>
              </w:rPr>
              <w:br/>
              <w:t>НР (-12,09 руб.): 121% от ФОТ</w:t>
            </w:r>
            <w:r w:rsidRPr="0019653D">
              <w:rPr>
                <w:rFonts w:ascii="Arial" w:hAnsi="Arial" w:cs="Arial"/>
                <w:i/>
                <w:iCs/>
                <w:sz w:val="14"/>
                <w:szCs w:val="14"/>
              </w:rPr>
              <w:br/>
              <w:t>СП (-8,99 руб.): 90%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-0,23</w:t>
            </w:r>
            <w:r w:rsidRPr="0019653D">
              <w:rPr>
                <w:rFonts w:ascii="Arial" w:hAnsi="Arial" w:cs="Arial"/>
                <w:i/>
                <w:iCs/>
                <w:sz w:val="14"/>
                <w:szCs w:val="14"/>
              </w:rPr>
              <w:br/>
              <w:t>-23/100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702,93</w:t>
            </w:r>
            <w:r w:rsidRPr="0019653D">
              <w:rPr>
                <w:rFonts w:ascii="Arial" w:hAnsi="Arial" w:cs="Arial"/>
                <w:sz w:val="16"/>
                <w:szCs w:val="16"/>
              </w:rPr>
              <w:br/>
              <w:t>43,43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659,5</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-161,67</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-9,99</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-151,68</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5,47</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-1,26</w:t>
            </w:r>
          </w:p>
        </w:tc>
      </w:tr>
      <w:tr w:rsidR="0019653D" w:rsidRPr="0019653D" w:rsidTr="0019653D">
        <w:trPr>
          <w:trHeight w:val="111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21</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ФЕР47-01-046-06</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Посев газонов партерных, мавританских и обыкновенных вручную</w:t>
            </w:r>
            <w:r w:rsidRPr="0019653D">
              <w:rPr>
                <w:rFonts w:ascii="Arial" w:hAnsi="Arial" w:cs="Arial"/>
                <w:sz w:val="18"/>
                <w:szCs w:val="18"/>
              </w:rPr>
              <w:br/>
              <w:t>(100 м2)</w:t>
            </w:r>
            <w:r w:rsidRPr="0019653D">
              <w:rPr>
                <w:rFonts w:ascii="Arial" w:hAnsi="Arial" w:cs="Arial"/>
                <w:i/>
                <w:iCs/>
                <w:sz w:val="14"/>
                <w:szCs w:val="14"/>
              </w:rPr>
              <w:br/>
              <w:t>НР (22,95 руб.): 121% от ФОТ</w:t>
            </w:r>
            <w:r w:rsidRPr="0019653D">
              <w:rPr>
                <w:rFonts w:ascii="Arial" w:hAnsi="Arial" w:cs="Arial"/>
                <w:i/>
                <w:iCs/>
                <w:sz w:val="14"/>
                <w:szCs w:val="14"/>
              </w:rPr>
              <w:br/>
              <w:t>СП (17,07 руб.): 90% от ФОТ</w:t>
            </w:r>
          </w:p>
        </w:tc>
        <w:tc>
          <w:tcPr>
            <w:tcW w:w="163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0,23</w:t>
            </w:r>
            <w:r w:rsidRPr="0019653D">
              <w:rPr>
                <w:rFonts w:ascii="Arial" w:hAnsi="Arial" w:cs="Arial"/>
                <w:i/>
                <w:iCs/>
                <w:sz w:val="14"/>
                <w:szCs w:val="14"/>
              </w:rPr>
              <w:br/>
              <w:t>23/100</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668,98</w:t>
            </w:r>
            <w:r w:rsidRPr="0019653D">
              <w:rPr>
                <w:rFonts w:ascii="Arial" w:hAnsi="Arial" w:cs="Arial"/>
                <w:sz w:val="16"/>
                <w:szCs w:val="16"/>
              </w:rPr>
              <w:br/>
              <w:t>50,68</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301,4</w:t>
            </w:r>
            <w:r w:rsidRPr="0019653D">
              <w:rPr>
                <w:rFonts w:ascii="Arial" w:hAnsi="Arial" w:cs="Arial"/>
                <w:sz w:val="16"/>
                <w:szCs w:val="16"/>
              </w:rPr>
              <w:br/>
              <w:t>31,78</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316,9</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153,87</w:t>
            </w:r>
          </w:p>
        </w:tc>
        <w:tc>
          <w:tcPr>
            <w:tcW w:w="861"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11,66</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69,32</w:t>
            </w:r>
            <w:r w:rsidRPr="0019653D">
              <w:rPr>
                <w:rFonts w:ascii="Arial" w:hAnsi="Arial" w:cs="Arial"/>
                <w:sz w:val="16"/>
                <w:szCs w:val="16"/>
              </w:rPr>
              <w:br/>
              <w:t>7,31</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72,89</w:t>
            </w:r>
          </w:p>
        </w:tc>
        <w:tc>
          <w:tcPr>
            <w:tcW w:w="90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5,99</w:t>
            </w:r>
          </w:p>
        </w:tc>
        <w:tc>
          <w:tcPr>
            <w:tcW w:w="837"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1,38</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520,3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74,72</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69,32</w:t>
            </w:r>
            <w:r w:rsidRPr="0019653D">
              <w:rPr>
                <w:rFonts w:ascii="Arial" w:hAnsi="Arial" w:cs="Arial"/>
                <w:sz w:val="16"/>
                <w:szCs w:val="16"/>
              </w:rPr>
              <w:br/>
              <w:t>7,31</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376,26</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9,32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99,26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73,83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5 Озеленение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Озеленение. Защитные лесонасаждения</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693,39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9,32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693,39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9,32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376,26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82,03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99,26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73,83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Итого по разделу 5 Озеленение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693,39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9,32</w:t>
            </w:r>
          </w:p>
        </w:tc>
      </w:tr>
      <w:tr w:rsidR="0019653D" w:rsidRPr="0019653D" w:rsidTr="0019653D">
        <w:trPr>
          <w:trHeight w:val="383"/>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20"/>
                <w:szCs w:val="20"/>
              </w:rPr>
            </w:pPr>
            <w:r w:rsidRPr="0019653D">
              <w:rPr>
                <w:rFonts w:ascii="Arial" w:hAnsi="Arial" w:cs="Arial"/>
                <w:b/>
                <w:bCs/>
                <w:sz w:val="20"/>
                <w:szCs w:val="20"/>
              </w:rPr>
              <w:t>Раздел 6. Вывоз строительного мусора</w:t>
            </w:r>
          </w:p>
        </w:tc>
      </w:tr>
      <w:tr w:rsidR="0019653D" w:rsidRPr="0019653D" w:rsidTr="0019653D">
        <w:trPr>
          <w:trHeight w:val="183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lastRenderedPageBreak/>
              <w:t>22</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ФССЦпг-01-01-01-043</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19653D">
              <w:rPr>
                <w:rFonts w:ascii="Arial" w:hAnsi="Arial" w:cs="Arial"/>
                <w:sz w:val="18"/>
                <w:szCs w:val="18"/>
              </w:rPr>
              <w:br/>
              <w:t>(1 т груза)</w:t>
            </w:r>
            <w:r w:rsidRPr="0019653D">
              <w:rPr>
                <w:rFonts w:ascii="Arial" w:hAnsi="Arial" w:cs="Arial"/>
                <w:i/>
                <w:iCs/>
                <w:sz w:val="14"/>
                <w:szCs w:val="14"/>
              </w:rPr>
              <w:br/>
              <w:t>НР 100% от ФОТ</w:t>
            </w:r>
            <w:r w:rsidRPr="0019653D">
              <w:rPr>
                <w:rFonts w:ascii="Arial" w:hAnsi="Arial" w:cs="Arial"/>
                <w:i/>
                <w:iCs/>
                <w:sz w:val="14"/>
                <w:szCs w:val="14"/>
              </w:rPr>
              <w:br/>
              <w:t>СП 60% от ФОТ</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1,6</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3,28</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3,28</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5,25</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159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23</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ФССЦпг-03-21-01-009</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19653D">
              <w:rPr>
                <w:rFonts w:ascii="Arial" w:hAnsi="Arial" w:cs="Arial"/>
                <w:sz w:val="18"/>
                <w:szCs w:val="18"/>
              </w:rPr>
              <w:br/>
              <w:t>(1 т груза)</w:t>
            </w:r>
            <w:r w:rsidRPr="0019653D">
              <w:rPr>
                <w:rFonts w:ascii="Arial" w:hAnsi="Arial" w:cs="Arial"/>
                <w:i/>
                <w:iCs/>
                <w:sz w:val="14"/>
                <w:szCs w:val="14"/>
              </w:rPr>
              <w:br/>
              <w:t>НР 0% от ФОТ</w:t>
            </w:r>
            <w:r w:rsidRPr="0019653D">
              <w:rPr>
                <w:rFonts w:ascii="Arial" w:hAnsi="Arial" w:cs="Arial"/>
                <w:i/>
                <w:iCs/>
                <w:sz w:val="14"/>
                <w:szCs w:val="14"/>
              </w:rPr>
              <w:br/>
              <w:t>СП 0% от ФОТ</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1,6</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10,47</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16,75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16,75</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720"/>
        </w:trPr>
        <w:tc>
          <w:tcPr>
            <w:tcW w:w="348" w:type="dxa"/>
            <w:tcBorders>
              <w:top w:val="nil"/>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24</w:t>
            </w:r>
          </w:p>
        </w:tc>
        <w:tc>
          <w:tcPr>
            <w:tcW w:w="174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Калькуляция "Югорскэнергогаз"</w:t>
            </w:r>
          </w:p>
        </w:tc>
        <w:tc>
          <w:tcPr>
            <w:tcW w:w="333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Утилизация строительного мусора</w:t>
            </w:r>
            <w:r w:rsidRPr="0019653D">
              <w:rPr>
                <w:rFonts w:ascii="Arial" w:hAnsi="Arial" w:cs="Arial"/>
                <w:sz w:val="18"/>
                <w:szCs w:val="18"/>
              </w:rPr>
              <w:br/>
              <w:t>(м3)</w:t>
            </w:r>
          </w:p>
        </w:tc>
        <w:tc>
          <w:tcPr>
            <w:tcW w:w="1630"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sz w:val="18"/>
                <w:szCs w:val="18"/>
              </w:rPr>
            </w:pPr>
            <w:r w:rsidRPr="0019653D">
              <w:rPr>
                <w:rFonts w:ascii="Arial" w:hAnsi="Arial" w:cs="Arial"/>
                <w:sz w:val="18"/>
                <w:szCs w:val="18"/>
              </w:rPr>
              <w:t>1</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r w:rsidRPr="0019653D">
              <w:rPr>
                <w:rFonts w:ascii="Arial" w:hAnsi="Arial" w:cs="Arial"/>
                <w:i/>
                <w:iCs/>
                <w:sz w:val="12"/>
                <w:szCs w:val="12"/>
              </w:rPr>
              <w:br/>
              <w:t>190,00/1,18/9,23</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1278"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r w:rsidRPr="0019653D">
              <w:rPr>
                <w:rFonts w:ascii="Arial" w:hAnsi="Arial" w:cs="Arial"/>
                <w:i/>
                <w:iCs/>
                <w:sz w:val="12"/>
                <w:szCs w:val="12"/>
              </w:rPr>
              <w:br/>
              <w:t>190,00/1,18/9,23</w:t>
            </w:r>
          </w:p>
        </w:tc>
        <w:tc>
          <w:tcPr>
            <w:tcW w:w="892"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разделу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39,45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разделу 6 Вывоз строительного мусора :</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Погрузо-разгрузочные работы при автоперевозках</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Перевозка грузов автотранспортом</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34,2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39,45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17,45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Итого по разделу 6 Вывоз строительного мусора</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39,45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19653D" w:rsidRPr="0019653D" w:rsidRDefault="0019653D" w:rsidP="0019653D">
            <w:pPr>
              <w:spacing w:after="0"/>
              <w:jc w:val="center"/>
              <w:rPr>
                <w:rFonts w:ascii="Arial" w:hAnsi="Arial" w:cs="Arial"/>
                <w:b/>
                <w:bCs/>
                <w:sz w:val="18"/>
                <w:szCs w:val="18"/>
              </w:rPr>
            </w:pPr>
            <w:r w:rsidRPr="0019653D">
              <w:rPr>
                <w:rFonts w:ascii="Arial" w:hAnsi="Arial" w:cs="Arial"/>
                <w:b/>
                <w:bCs/>
                <w:sz w:val="18"/>
                <w:szCs w:val="18"/>
              </w:rPr>
              <w:t>ИТОГИ ПО СМЕТЕ:</w:t>
            </w:r>
          </w:p>
        </w:tc>
      </w:tr>
      <w:tr w:rsidR="0019653D" w:rsidRPr="0019653D" w:rsidTr="0019653D">
        <w:trPr>
          <w:trHeight w:val="450"/>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Итого прямые затраты по смете в ценах 2001г.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40260,1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802,65</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4606,52</w:t>
            </w:r>
            <w:r w:rsidRPr="0019653D">
              <w:rPr>
                <w:rFonts w:ascii="Arial" w:hAnsi="Arial" w:cs="Arial"/>
                <w:sz w:val="16"/>
                <w:szCs w:val="16"/>
              </w:rPr>
              <w:br/>
              <w:t>351,27</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34850,93</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90,02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1667,19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1066,58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Итоги по смете: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Благоустройство</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158,14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4,1</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Земляные работы, выполняемые механизированным способом</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149,95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0,33</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Перевозка грузов автотранспортом</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520,01</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Автомобильные дороги</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16320,55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75,23</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24790,06</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522"/>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Бетонные и железобетонные монолитные конструкции в промышленном строительстве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356,52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1,04</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lastRenderedPageBreak/>
              <w:t xml:space="preserve">  Озеленение. Защитные лесонасаждения</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693,39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9,32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Погрузо-разгрузочные работы при автоперевозках</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5,25</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Итого в ценах 2001 г.</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42993,87</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90,02</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В том числе:</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Материалы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34850,93</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Машины и механизмы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4606,52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ФОТ</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1153,92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Накладные расходы</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1667,19</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Сметная прибыль</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1066,58</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Индекс перевода в текущие цены 42 993,87 * 9,23</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396833,42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sz w:val="18"/>
                <w:szCs w:val="18"/>
              </w:rPr>
            </w:pPr>
            <w:r w:rsidRPr="0019653D">
              <w:rPr>
                <w:rFonts w:ascii="Arial" w:hAnsi="Arial" w:cs="Arial"/>
                <w:sz w:val="18"/>
                <w:szCs w:val="18"/>
              </w:rPr>
              <w:t xml:space="preserve">  НДС 18%</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71430,02</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r>
      <w:tr w:rsidR="0019653D" w:rsidRPr="0019653D" w:rsidTr="0019653D">
        <w:trPr>
          <w:trHeight w:val="255"/>
        </w:trPr>
        <w:tc>
          <w:tcPr>
            <w:tcW w:w="10531" w:type="dxa"/>
            <w:gridSpan w:val="7"/>
            <w:tcBorders>
              <w:top w:val="single" w:sz="4" w:space="0" w:color="auto"/>
              <w:left w:val="single" w:sz="4" w:space="0" w:color="auto"/>
              <w:bottom w:val="single" w:sz="4" w:space="0" w:color="auto"/>
              <w:right w:val="single" w:sz="4" w:space="0" w:color="auto"/>
            </w:tcBorders>
            <w:shd w:val="clear" w:color="auto" w:fill="auto"/>
            <w:hideMark/>
          </w:tcPr>
          <w:p w:rsidR="0019653D" w:rsidRPr="0019653D" w:rsidRDefault="0019653D" w:rsidP="0019653D">
            <w:pPr>
              <w:spacing w:after="0"/>
              <w:jc w:val="left"/>
              <w:rPr>
                <w:rFonts w:ascii="Arial" w:hAnsi="Arial" w:cs="Arial"/>
                <w:b/>
                <w:bCs/>
                <w:sz w:val="18"/>
                <w:szCs w:val="18"/>
              </w:rPr>
            </w:pPr>
            <w:r w:rsidRPr="0019653D">
              <w:rPr>
                <w:rFonts w:ascii="Arial" w:hAnsi="Arial" w:cs="Arial"/>
                <w:b/>
                <w:bCs/>
                <w:sz w:val="18"/>
                <w:szCs w:val="18"/>
              </w:rPr>
              <w:t xml:space="preserve">  ВСЕГО по смете в текущих ценах с НДС 18%</w:t>
            </w:r>
          </w:p>
        </w:tc>
        <w:tc>
          <w:tcPr>
            <w:tcW w:w="892"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468263,44</w:t>
            </w:r>
          </w:p>
        </w:tc>
        <w:tc>
          <w:tcPr>
            <w:tcW w:w="861"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sz w:val="16"/>
                <w:szCs w:val="16"/>
              </w:rPr>
            </w:pPr>
            <w:r w:rsidRPr="0019653D">
              <w:rPr>
                <w:rFonts w:ascii="Arial" w:hAnsi="Arial" w:cs="Arial"/>
                <w:sz w:val="16"/>
                <w:szCs w:val="16"/>
              </w:rPr>
              <w:t> </w:t>
            </w:r>
          </w:p>
        </w:tc>
        <w:tc>
          <w:tcPr>
            <w:tcW w:w="837" w:type="dxa"/>
            <w:tcBorders>
              <w:top w:val="nil"/>
              <w:left w:val="nil"/>
              <w:bottom w:val="single" w:sz="4" w:space="0" w:color="auto"/>
              <w:right w:val="single" w:sz="4" w:space="0" w:color="auto"/>
            </w:tcBorders>
            <w:shd w:val="clear" w:color="auto" w:fill="auto"/>
            <w:hideMark/>
          </w:tcPr>
          <w:p w:rsidR="0019653D" w:rsidRPr="0019653D" w:rsidRDefault="0019653D" w:rsidP="0019653D">
            <w:pPr>
              <w:spacing w:after="0"/>
              <w:jc w:val="right"/>
              <w:rPr>
                <w:rFonts w:ascii="Arial" w:hAnsi="Arial" w:cs="Arial"/>
                <w:b/>
                <w:bCs/>
                <w:sz w:val="16"/>
                <w:szCs w:val="16"/>
              </w:rPr>
            </w:pPr>
            <w:r w:rsidRPr="0019653D">
              <w:rPr>
                <w:rFonts w:ascii="Arial" w:hAnsi="Arial" w:cs="Arial"/>
                <w:b/>
                <w:bCs/>
                <w:sz w:val="16"/>
                <w:szCs w:val="16"/>
              </w:rPr>
              <w:t>90,02</w:t>
            </w:r>
          </w:p>
        </w:tc>
      </w:tr>
    </w:tbl>
    <w:p w:rsidR="00885C6D" w:rsidRDefault="00885C6D" w:rsidP="00754E64">
      <w:pPr>
        <w:ind w:right="-15"/>
        <w:jc w:val="left"/>
        <w:rPr>
          <w:b/>
          <w:sz w:val="20"/>
          <w:szCs w:val="20"/>
        </w:rPr>
      </w:pPr>
    </w:p>
    <w:p w:rsidR="00885C6D" w:rsidRDefault="00885C6D" w:rsidP="00754E64">
      <w:pPr>
        <w:ind w:right="-15"/>
        <w:jc w:val="left"/>
        <w:rPr>
          <w:b/>
          <w:sz w:val="20"/>
          <w:szCs w:val="20"/>
        </w:rPr>
      </w:pPr>
    </w:p>
    <w:p w:rsidR="00885C6D" w:rsidRDefault="00885C6D"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D772E5">
        <w:rPr>
          <w:b/>
          <w:sz w:val="20"/>
          <w:szCs w:val="20"/>
        </w:rPr>
        <w:t xml:space="preserve">468 263 </w:t>
      </w:r>
      <w:r w:rsidR="00B6593E">
        <w:rPr>
          <w:b/>
          <w:sz w:val="20"/>
          <w:szCs w:val="20"/>
        </w:rPr>
        <w:t>рубл</w:t>
      </w:r>
      <w:r w:rsidR="00D772E5">
        <w:rPr>
          <w:b/>
          <w:sz w:val="20"/>
          <w:szCs w:val="20"/>
        </w:rPr>
        <w:t>я</w:t>
      </w:r>
      <w:r w:rsidR="00787B31">
        <w:rPr>
          <w:b/>
          <w:sz w:val="20"/>
          <w:szCs w:val="20"/>
        </w:rPr>
        <w:t xml:space="preserve"> </w:t>
      </w:r>
      <w:r w:rsidR="00D772E5">
        <w:rPr>
          <w:b/>
          <w:sz w:val="20"/>
          <w:szCs w:val="20"/>
        </w:rPr>
        <w:t>44</w:t>
      </w:r>
      <w:r w:rsidR="00787B31">
        <w:rPr>
          <w:b/>
          <w:sz w:val="20"/>
          <w:szCs w:val="20"/>
        </w:rPr>
        <w:t xml:space="preserve"> копе</w:t>
      </w:r>
      <w:r w:rsidR="00B6593E">
        <w:rPr>
          <w:b/>
          <w:sz w:val="20"/>
          <w:szCs w:val="20"/>
        </w:rPr>
        <w:t>йк</w:t>
      </w:r>
      <w:r w:rsidR="00D772E5">
        <w:rPr>
          <w:b/>
          <w:sz w:val="20"/>
          <w:szCs w:val="20"/>
        </w:rPr>
        <w:t>и</w:t>
      </w:r>
      <w:r w:rsidR="00787B31">
        <w:rPr>
          <w:b/>
          <w:sz w:val="20"/>
          <w:szCs w:val="20"/>
        </w:rPr>
        <w:t xml:space="preserve">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21"/>
      <w:footerReference w:type="default" r:id="rId22"/>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6D" w:rsidRDefault="00885C6D">
      <w:r>
        <w:separator/>
      </w:r>
    </w:p>
  </w:endnote>
  <w:endnote w:type="continuationSeparator" w:id="0">
    <w:p w:rsidR="00885C6D" w:rsidRDefault="0088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pPr>
      <w:pStyle w:val="a4"/>
      <w:jc w:val="right"/>
    </w:pPr>
  </w:p>
  <w:p w:rsidR="00885C6D" w:rsidRDefault="00885C6D">
    <w:pPr>
      <w:pStyle w:val="a4"/>
      <w:jc w:val="right"/>
    </w:pPr>
  </w:p>
  <w:p w:rsidR="00885C6D" w:rsidRDefault="00885C6D">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pPr>
      <w:pStyle w:val="a4"/>
      <w:jc w:val="right"/>
    </w:pPr>
    <w:r>
      <w:fldChar w:fldCharType="begin"/>
    </w:r>
    <w:r>
      <w:instrText xml:space="preserve"> PAGE </w:instrText>
    </w:r>
    <w:r>
      <w:fldChar w:fldCharType="separate"/>
    </w:r>
    <w:r w:rsidR="006860B5">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pPr>
      <w:pStyle w:val="a4"/>
      <w:jc w:val="right"/>
    </w:pPr>
  </w:p>
  <w:p w:rsidR="00885C6D" w:rsidRDefault="00885C6D">
    <w:pPr>
      <w:pStyle w:val="a4"/>
      <w:jc w:val="right"/>
    </w:pPr>
  </w:p>
  <w:p w:rsidR="00885C6D" w:rsidRDefault="00885C6D">
    <w:pPr>
      <w:pStyle w:val="a4"/>
      <w:jc w:val="right"/>
    </w:pPr>
    <w:r>
      <w:fldChar w:fldCharType="begin"/>
    </w:r>
    <w:r>
      <w:instrText xml:space="preserve"> PAGE </w:instrText>
    </w:r>
    <w:r>
      <w:fldChar w:fldCharType="separate"/>
    </w:r>
    <w:r>
      <w:rPr>
        <w:noProof/>
      </w:rPr>
      <w:t>38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pPr>
      <w:pStyle w:val="a4"/>
      <w:jc w:val="right"/>
    </w:pPr>
    <w:r>
      <w:fldChar w:fldCharType="begin"/>
    </w:r>
    <w:r>
      <w:instrText xml:space="preserve"> PAGE </w:instrText>
    </w:r>
    <w:r>
      <w:fldChar w:fldCharType="separate"/>
    </w:r>
    <w:r w:rsidR="00E9625B">
      <w:rPr>
        <w:noProof/>
      </w:rPr>
      <w:t>38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5C6D" w:rsidRDefault="00885C6D" w:rsidP="00FA2894">
    <w:pPr>
      <w:pStyle w:val="a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6D" w:rsidRDefault="00885C6D"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625B">
      <w:rPr>
        <w:rStyle w:val="a5"/>
        <w:noProof/>
      </w:rPr>
      <w:t>46</w:t>
    </w:r>
    <w:r>
      <w:rPr>
        <w:rStyle w:val="a5"/>
      </w:rPr>
      <w:fldChar w:fldCharType="end"/>
    </w:r>
  </w:p>
  <w:p w:rsidR="00885C6D" w:rsidRDefault="00885C6D"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6D" w:rsidRDefault="00885C6D">
      <w:r>
        <w:separator/>
      </w:r>
    </w:p>
  </w:footnote>
  <w:footnote w:type="continuationSeparator" w:id="0">
    <w:p w:rsidR="00885C6D" w:rsidRDefault="00885C6D">
      <w:r>
        <w:continuationSeparator/>
      </w:r>
    </w:p>
  </w:footnote>
  <w:footnote w:id="1">
    <w:p w:rsidR="00885C6D" w:rsidRDefault="00885C6D"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885C6D" w:rsidRDefault="00885C6D"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fa"/>
        <w:spacing w:after="0"/>
        <w:rPr>
          <w:kern w:val="2"/>
        </w:rPr>
      </w:pPr>
    </w:p>
    <w:p w:rsidR="00885C6D" w:rsidRDefault="00885C6D"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0"/>
  </w:num>
  <w:num w:numId="4">
    <w:abstractNumId w:val="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29"/>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0"/>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53D"/>
    <w:rsid w:val="00196E2A"/>
    <w:rsid w:val="0019796D"/>
    <w:rsid w:val="001A0B60"/>
    <w:rsid w:val="001A2A29"/>
    <w:rsid w:val="001A5F3B"/>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47D8"/>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AC3"/>
    <w:rsid w:val="004C6BF5"/>
    <w:rsid w:val="004D26E3"/>
    <w:rsid w:val="004D3651"/>
    <w:rsid w:val="004D3D03"/>
    <w:rsid w:val="004D3E8C"/>
    <w:rsid w:val="004D6BE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25"/>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2D9"/>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1BB0"/>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19A4"/>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34632"/>
    <w:rsid w:val="00646695"/>
    <w:rsid w:val="00647E14"/>
    <w:rsid w:val="0065053F"/>
    <w:rsid w:val="006521C5"/>
    <w:rsid w:val="00652751"/>
    <w:rsid w:val="00652DBF"/>
    <w:rsid w:val="0065696C"/>
    <w:rsid w:val="00657BF9"/>
    <w:rsid w:val="00657F3B"/>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0B5"/>
    <w:rsid w:val="00686D68"/>
    <w:rsid w:val="006878BA"/>
    <w:rsid w:val="00690C03"/>
    <w:rsid w:val="00691471"/>
    <w:rsid w:val="00693EBF"/>
    <w:rsid w:val="0069558E"/>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0D4B"/>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4495"/>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B65"/>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5C6D"/>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22A8"/>
    <w:rsid w:val="00943819"/>
    <w:rsid w:val="00951207"/>
    <w:rsid w:val="009517AE"/>
    <w:rsid w:val="00951D4C"/>
    <w:rsid w:val="00951E65"/>
    <w:rsid w:val="00953901"/>
    <w:rsid w:val="0095393B"/>
    <w:rsid w:val="009544DD"/>
    <w:rsid w:val="00954C14"/>
    <w:rsid w:val="00955747"/>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4AEE"/>
    <w:rsid w:val="009A5475"/>
    <w:rsid w:val="009A72CA"/>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DBB"/>
    <w:rsid w:val="00B71FE4"/>
    <w:rsid w:val="00B725D4"/>
    <w:rsid w:val="00B730DC"/>
    <w:rsid w:val="00B733A3"/>
    <w:rsid w:val="00B74D02"/>
    <w:rsid w:val="00B76597"/>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F8C"/>
    <w:rsid w:val="00C100A5"/>
    <w:rsid w:val="00C108A0"/>
    <w:rsid w:val="00C120B3"/>
    <w:rsid w:val="00C12F6E"/>
    <w:rsid w:val="00C15DBA"/>
    <w:rsid w:val="00C20A04"/>
    <w:rsid w:val="00C22D71"/>
    <w:rsid w:val="00C27AAC"/>
    <w:rsid w:val="00C3004C"/>
    <w:rsid w:val="00C3154B"/>
    <w:rsid w:val="00C32000"/>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772E5"/>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5E7F"/>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25B"/>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2BB"/>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numbering" w:customStyle="1" w:styleId="27">
    <w:name w:val="Нет списка2"/>
    <w:next w:val="a2"/>
    <w:uiPriority w:val="99"/>
    <w:semiHidden/>
    <w:unhideWhenUsed/>
    <w:rsid w:val="00955747"/>
  </w:style>
  <w:style w:type="numbering" w:customStyle="1" w:styleId="35">
    <w:name w:val="Нет списка3"/>
    <w:next w:val="a2"/>
    <w:uiPriority w:val="99"/>
    <w:semiHidden/>
    <w:unhideWhenUsed/>
    <w:rsid w:val="00196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numbering" w:customStyle="1" w:styleId="27">
    <w:name w:val="Нет списка2"/>
    <w:next w:val="a2"/>
    <w:uiPriority w:val="99"/>
    <w:semiHidden/>
    <w:unhideWhenUsed/>
    <w:rsid w:val="00955747"/>
  </w:style>
  <w:style w:type="numbering" w:customStyle="1" w:styleId="35">
    <w:name w:val="Нет списка3"/>
    <w:next w:val="a2"/>
    <w:uiPriority w:val="99"/>
    <w:semiHidden/>
    <w:unhideWhenUsed/>
    <w:rsid w:val="0019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1348296">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0704984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upki.gov.ru" TargetMode="External"/><Relationship Id="rId23" Type="http://schemas.openxmlformats.org/officeDocument/2006/relationships/fontTable" Target="fontTable.xm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CFB75-5E57-4C9B-B355-F7D48226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46</Pages>
  <Words>19588</Words>
  <Characters>111655</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31</cp:revision>
  <cp:lastPrinted>2016-06-24T05:47:00Z</cp:lastPrinted>
  <dcterms:created xsi:type="dcterms:W3CDTF">2016-06-08T09:36:00Z</dcterms:created>
  <dcterms:modified xsi:type="dcterms:W3CDTF">2016-06-24T05:51:00Z</dcterms:modified>
</cp:coreProperties>
</file>