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17" w:rsidRPr="00EF7C0A" w:rsidRDefault="00EF7C0A" w:rsidP="00EF7C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</w:t>
      </w:r>
      <w:r w:rsidR="007A4717" w:rsidRPr="00EF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отбор проектов для участия в конкурсе «Ежегодная общественная премия «Регионы – устойчивое развитие»</w:t>
      </w:r>
    </w:p>
    <w:p w:rsidR="007A4717" w:rsidRPr="007A4717" w:rsidRDefault="007A4717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Ханты-Мансийского автономного округа – Югры проводится отбор проектов для участия в конкурсе «Ежегодная общественная премия «Регионы – устойчивое развитие».</w:t>
      </w:r>
    </w:p>
    <w:p w:rsidR="007A4717" w:rsidRPr="007A4717" w:rsidRDefault="007A4717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Конкурса является поиск, отбор и сопровождение </w:t>
      </w:r>
      <w:proofErr w:type="gramStart"/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бизнес-идей</w:t>
      </w:r>
      <w:proofErr w:type="gramEnd"/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модернизацией и созданием новых предприятий реального сектора экономики, путем поддержки и создания условий для их реализации.</w:t>
      </w:r>
    </w:p>
    <w:p w:rsidR="007A4717" w:rsidRPr="007A4717" w:rsidRDefault="007A4717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преимущественными </w:t>
      </w:r>
      <w:r w:rsidR="00EF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</w:t>
      </w:r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Конкурсе для инициаторов проекта являются:</w:t>
      </w:r>
    </w:p>
    <w:p w:rsidR="007A4717" w:rsidRPr="007A4717" w:rsidRDefault="007A4717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длительный срок кредитования (до 15 лет);</w:t>
      </w:r>
    </w:p>
    <w:p w:rsidR="007A4717" w:rsidRPr="007A4717" w:rsidRDefault="007A4717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особые условия финансирования, учитывающие предоставление инициаторам проектов пониженной процентной ставки по кредиту от Банка-партнера и фиксированной ставки по привлечению средств частного инвестора;</w:t>
      </w:r>
    </w:p>
    <w:p w:rsidR="007A4717" w:rsidRPr="007A4717" w:rsidRDefault="007A4717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для проекта различных форм господдержки/государственного участия на уровне федеральных или отраслевых министерств и ведомств и/или местных исполнительных органов государственной власти.</w:t>
      </w:r>
    </w:p>
    <w:p w:rsidR="00EF7C0A" w:rsidRPr="007A4717" w:rsidRDefault="007A4717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подробные сведения об условиях участия в конкурсе на соискание Ежегодной общественной премии «Регионы – устойчивое развитие» представлены на официальном сайте </w:t>
      </w:r>
      <w:hyperlink r:id="rId5" w:history="1">
        <w:r w:rsidR="00EF7C0A" w:rsidRPr="00EF7C0A">
          <w:rPr>
            <w:rStyle w:val="a4"/>
            <w:rFonts w:ascii="Times New Roman" w:hAnsi="Times New Roman" w:cs="Times New Roman"/>
            <w:sz w:val="24"/>
            <w:szCs w:val="24"/>
          </w:rPr>
          <w:t>http://infra-konkurs.ru/</w:t>
        </w:r>
      </w:hyperlink>
    </w:p>
    <w:p w:rsidR="007A4717" w:rsidRPr="007A4717" w:rsidRDefault="007A4717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интересующим вопроса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обращаться по телефонам: (34675</w:t>
      </w:r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5-00-41, 5-00-39</w:t>
      </w:r>
      <w:r w:rsidRPr="007A4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C0A" w:rsidRDefault="00EF7C0A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F7C0A" w:rsidRDefault="00EF7C0A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A" w:rsidRDefault="00EF7C0A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A" w:rsidRDefault="00EF7C0A" w:rsidP="00EF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A" w:rsidRPr="00A143F2" w:rsidRDefault="00EF7C0A" w:rsidP="00EF7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3F2">
        <w:rPr>
          <w:rFonts w:ascii="Times New Roman" w:hAnsi="Times New Roman" w:cs="Times New Roman"/>
          <w:sz w:val="24"/>
          <w:szCs w:val="24"/>
        </w:rPr>
        <w:t xml:space="preserve">Управление проектной деятельности и инвестиций </w:t>
      </w:r>
    </w:p>
    <w:p w:rsidR="00EF7C0A" w:rsidRPr="007A4717" w:rsidRDefault="00EF7C0A" w:rsidP="00EF7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7C0A" w:rsidRPr="007A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17"/>
    <w:rsid w:val="001E59E2"/>
    <w:rsid w:val="005851B8"/>
    <w:rsid w:val="006659C2"/>
    <w:rsid w:val="007A4717"/>
    <w:rsid w:val="009C51C8"/>
    <w:rsid w:val="00E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47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F7C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47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F7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ra-konk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Диана Мироновна</dc:creator>
  <cp:lastModifiedBy>Демидова Диана Мироновна</cp:lastModifiedBy>
  <cp:revision>5</cp:revision>
  <cp:lastPrinted>2017-08-24T06:25:00Z</cp:lastPrinted>
  <dcterms:created xsi:type="dcterms:W3CDTF">2017-08-22T10:08:00Z</dcterms:created>
  <dcterms:modified xsi:type="dcterms:W3CDTF">2017-08-28T05:11:00Z</dcterms:modified>
</cp:coreProperties>
</file>