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634422" w:rsidRPr="00634422">
        <w:rPr>
          <w:rFonts w:ascii="PT Astra Serif" w:hAnsi="PT Astra Serif"/>
        </w:rPr>
        <w:t>213862200236886220100101550012620244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sidRPr="004D1289">
        <w:rPr>
          <w:rFonts w:ascii="PT Astra Serif" w:hAnsi="PT Astra Serif"/>
          <w:u w:val="single"/>
        </w:rPr>
        <w:t xml:space="preserve">запасных частей для </w:t>
      </w:r>
      <w:r w:rsidR="001E60EC" w:rsidRPr="004D1289">
        <w:rPr>
          <w:rFonts w:ascii="PT Astra Serif" w:hAnsi="PT Astra Serif"/>
          <w:u w:val="single"/>
        </w:rPr>
        <w:t>средств вычислительной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037F40" w:rsidRPr="006968B2" w:rsidTr="00C355E6">
        <w:tc>
          <w:tcPr>
            <w:tcW w:w="426"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jc w:val="center"/>
              <w:rPr>
                <w:rFonts w:ascii="PT Astra Serif" w:hAnsi="PT Astra Serif"/>
              </w:rPr>
            </w:pPr>
            <w:r>
              <w:rPr>
                <w:rFonts w:ascii="PT Astra Serif" w:hAnsi="PT Astra Serif"/>
                <w:sz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037F40" w:rsidRDefault="00037F40" w:rsidP="007C0D48">
            <w:pPr>
              <w:rPr>
                <w:rFonts w:ascii="PT Astra Serif" w:hAnsi="PT Astra Serif"/>
                <w:sz w:val="18"/>
                <w:szCs w:val="18"/>
                <w:lang w:val="en-US"/>
              </w:rPr>
            </w:pPr>
            <w:r w:rsidRPr="00FC51D9">
              <w:rPr>
                <w:rFonts w:ascii="PT Astra Serif" w:hAnsi="PT Astra Serif"/>
                <w:sz w:val="18"/>
                <w:szCs w:val="18"/>
              </w:rPr>
              <w:t>26.20.2</w:t>
            </w:r>
            <w:r>
              <w:rPr>
                <w:rFonts w:ascii="PT Astra Serif" w:hAnsi="PT Astra Serif"/>
                <w:sz w:val="18"/>
                <w:szCs w:val="18"/>
                <w:lang w:val="en-US"/>
              </w:rPr>
              <w:t>1</w:t>
            </w:r>
            <w:r w:rsidRPr="00FC51D9">
              <w:rPr>
                <w:rFonts w:ascii="PT Astra Serif" w:hAnsi="PT Astra Serif"/>
                <w:sz w:val="18"/>
                <w:szCs w:val="18"/>
              </w:rPr>
              <w:t>.</w:t>
            </w:r>
            <w:r>
              <w:rPr>
                <w:rFonts w:ascii="PT Astra Serif" w:hAnsi="PT Astra Serif"/>
                <w:sz w:val="18"/>
                <w:szCs w:val="18"/>
                <w:lang w:val="en-US"/>
              </w:rPr>
              <w:t>11</w:t>
            </w:r>
            <w:r w:rsidRPr="00FC51D9">
              <w:rPr>
                <w:rFonts w:ascii="PT Astra Serif" w:hAnsi="PT Astra Serif"/>
                <w:sz w:val="18"/>
                <w:szCs w:val="18"/>
              </w:rPr>
              <w:t>0</w:t>
            </w:r>
            <w:r>
              <w:rPr>
                <w:rFonts w:ascii="PT Astra Serif" w:hAnsi="PT Astra Serif"/>
                <w:sz w:val="18"/>
                <w:szCs w:val="18"/>
                <w:lang w:val="en-US"/>
              </w:rPr>
              <w:t>-</w:t>
            </w:r>
          </w:p>
          <w:p w:rsidR="00037F40" w:rsidRPr="00932CB2" w:rsidRDefault="00932CB2" w:rsidP="007C0D48">
            <w:pPr>
              <w:rPr>
                <w:rFonts w:ascii="PT Astra Serif" w:hAnsi="PT Astra Serif"/>
                <w:sz w:val="18"/>
                <w:szCs w:val="18"/>
              </w:rPr>
            </w:pPr>
            <w:r>
              <w:rPr>
                <w:rFonts w:ascii="PT Astra Serif" w:hAnsi="PT Astra Serif"/>
                <w:sz w:val="18"/>
                <w:szCs w:val="18"/>
                <w:lang w:val="en-US"/>
              </w:rPr>
              <w:t>0000000</w:t>
            </w:r>
            <w:r>
              <w:rPr>
                <w:rFonts w:ascii="PT Astra Serif" w:hAnsi="PT Astra Serif"/>
                <w:sz w:val="18"/>
                <w:szCs w:val="18"/>
              </w:rPr>
              <w:t>2</w:t>
            </w:r>
          </w:p>
        </w:tc>
        <w:tc>
          <w:tcPr>
            <w:tcW w:w="1305" w:type="dxa"/>
            <w:tcBorders>
              <w:top w:val="single" w:sz="4" w:space="0" w:color="000000"/>
              <w:left w:val="single" w:sz="4" w:space="0" w:color="000000"/>
              <w:bottom w:val="single" w:sz="4" w:space="0" w:color="000000"/>
            </w:tcBorders>
            <w:shd w:val="clear" w:color="auto" w:fill="auto"/>
          </w:tcPr>
          <w:p w:rsidR="00037F40" w:rsidRPr="006968B2" w:rsidRDefault="004D1289" w:rsidP="007C0D48">
            <w:pPr>
              <w:autoSpaceDE w:val="0"/>
              <w:rPr>
                <w:rFonts w:ascii="PT Astra Serif" w:hAnsi="PT Astra Serif"/>
              </w:rPr>
            </w:pPr>
            <w:r w:rsidRPr="004D1289">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037F40" w:rsidRPr="003C53A8" w:rsidRDefault="00037F40" w:rsidP="007C0D48">
            <w:pPr>
              <w:rPr>
                <w:rFonts w:ascii="PT Astra Serif" w:hAnsi="PT Astra Serif"/>
                <w:sz w:val="18"/>
                <w:szCs w:val="16"/>
              </w:rPr>
            </w:pPr>
            <w:r w:rsidRPr="003C53A8">
              <w:rPr>
                <w:rFonts w:ascii="PT Astra Serif" w:hAnsi="PT Astra Serif"/>
                <w:sz w:val="18"/>
                <w:szCs w:val="16"/>
              </w:rPr>
              <w:t xml:space="preserve">- </w:t>
            </w:r>
            <w:r w:rsidR="004D1289" w:rsidRPr="003C53A8">
              <w:rPr>
                <w:rFonts w:ascii="PT Astra Serif" w:hAnsi="PT Astra Serif"/>
                <w:sz w:val="18"/>
                <w:szCs w:val="16"/>
              </w:rPr>
              <w:t>наличие интерфейсов:</w:t>
            </w:r>
            <w:r w:rsidRPr="003C53A8">
              <w:rPr>
                <w:rFonts w:ascii="PT Astra Serif" w:hAnsi="PT Astra Serif"/>
                <w:sz w:val="18"/>
                <w:szCs w:val="16"/>
              </w:rPr>
              <w:t xml:space="preserve"> SATA </w:t>
            </w:r>
            <w:r w:rsidRPr="003C53A8">
              <w:rPr>
                <w:rFonts w:ascii="PT Astra Serif" w:hAnsi="PT Astra Serif"/>
                <w:sz w:val="18"/>
                <w:szCs w:val="16"/>
                <w:lang w:val="en-US"/>
              </w:rPr>
              <w:t>III</w:t>
            </w:r>
            <w:r w:rsidRPr="003C53A8">
              <w:rPr>
                <w:rFonts w:ascii="PT Astra Serif" w:hAnsi="PT Astra Serif"/>
                <w:sz w:val="18"/>
                <w:szCs w:val="16"/>
              </w:rPr>
              <w:t>;</w:t>
            </w:r>
          </w:p>
          <w:p w:rsidR="00037F40" w:rsidRPr="003C53A8" w:rsidRDefault="00037F40" w:rsidP="007C0D48">
            <w:pPr>
              <w:rPr>
                <w:rFonts w:ascii="PT Astra Serif" w:hAnsi="PT Astra Serif"/>
                <w:sz w:val="18"/>
                <w:szCs w:val="16"/>
              </w:rPr>
            </w:pPr>
            <w:r w:rsidRPr="003C53A8">
              <w:rPr>
                <w:rFonts w:ascii="PT Astra Serif" w:hAnsi="PT Astra Serif"/>
                <w:sz w:val="18"/>
                <w:szCs w:val="16"/>
              </w:rPr>
              <w:t xml:space="preserve">- </w:t>
            </w:r>
            <w:r w:rsidR="004D1289" w:rsidRPr="003C53A8">
              <w:rPr>
                <w:rFonts w:ascii="PT Astra Serif" w:hAnsi="PT Astra Serif"/>
                <w:sz w:val="18"/>
                <w:szCs w:val="16"/>
              </w:rPr>
              <w:t>объём</w:t>
            </w:r>
            <w:r w:rsidRPr="003C53A8">
              <w:rPr>
                <w:rFonts w:ascii="PT Astra Serif" w:hAnsi="PT Astra Serif"/>
                <w:sz w:val="18"/>
                <w:szCs w:val="16"/>
              </w:rPr>
              <w:t xml:space="preserve"> накопителя</w:t>
            </w:r>
            <w:r w:rsidR="004D1289" w:rsidRPr="003C53A8">
              <w:rPr>
                <w:rFonts w:ascii="PT Astra Serif" w:hAnsi="PT Astra Serif"/>
                <w:sz w:val="18"/>
                <w:szCs w:val="16"/>
              </w:rPr>
              <w:t>:</w:t>
            </w:r>
            <w:r w:rsidRPr="003C53A8">
              <w:rPr>
                <w:rFonts w:ascii="PT Astra Serif" w:hAnsi="PT Astra Serif"/>
                <w:sz w:val="18"/>
                <w:szCs w:val="16"/>
              </w:rPr>
              <w:t xml:space="preserve"> </w:t>
            </w:r>
            <w:r w:rsidR="004D1289" w:rsidRPr="003C53A8">
              <w:rPr>
                <w:rFonts w:ascii="PT Astra Serif" w:hAnsi="PT Astra Serif"/>
                <w:sz w:val="18"/>
                <w:szCs w:val="16"/>
              </w:rPr>
              <w:t>≥ 256</w:t>
            </w:r>
            <w:r w:rsidRPr="003C53A8">
              <w:rPr>
                <w:rFonts w:ascii="PT Astra Serif" w:hAnsi="PT Astra Serif"/>
                <w:sz w:val="18"/>
                <w:szCs w:val="16"/>
              </w:rPr>
              <w:t xml:space="preserve"> Гигабайт;</w:t>
            </w:r>
          </w:p>
          <w:p w:rsidR="004D1289" w:rsidRPr="003C53A8" w:rsidRDefault="004D1289" w:rsidP="007C0D48">
            <w:pPr>
              <w:rPr>
                <w:rFonts w:ascii="PT Astra Serif" w:hAnsi="PT Astra Serif"/>
                <w:sz w:val="18"/>
                <w:szCs w:val="16"/>
              </w:rPr>
            </w:pPr>
            <w:r w:rsidRPr="003C53A8">
              <w:rPr>
                <w:rFonts w:ascii="PT Astra Serif" w:hAnsi="PT Astra Serif"/>
                <w:sz w:val="18"/>
                <w:szCs w:val="16"/>
              </w:rPr>
              <w:t xml:space="preserve">- тип устройства: </w:t>
            </w:r>
            <w:r w:rsidRPr="003C53A8">
              <w:rPr>
                <w:rFonts w:ascii="PT Astra Serif" w:hAnsi="PT Astra Serif"/>
                <w:sz w:val="18"/>
                <w:szCs w:val="16"/>
                <w:lang w:val="en-US"/>
              </w:rPr>
              <w:t>SS</w:t>
            </w:r>
            <w:r w:rsidRPr="003C53A8">
              <w:rPr>
                <w:rFonts w:ascii="PT Astra Serif" w:hAnsi="PT Astra Serif"/>
                <w:sz w:val="18"/>
                <w:szCs w:val="16"/>
              </w:rPr>
              <w:t>D;</w:t>
            </w:r>
          </w:p>
          <w:p w:rsidR="00037F40" w:rsidRPr="003C53A8" w:rsidRDefault="004D1289" w:rsidP="003C53A8">
            <w:pPr>
              <w:rPr>
                <w:rFonts w:ascii="PT Astra Serif" w:hAnsi="PT Astra Serif"/>
                <w:sz w:val="18"/>
                <w:szCs w:val="16"/>
              </w:rPr>
            </w:pPr>
            <w:r w:rsidRPr="003C53A8">
              <w:rPr>
                <w:rFonts w:ascii="PT Astra Serif" w:hAnsi="PT Astra Serif"/>
                <w:sz w:val="18"/>
                <w:szCs w:val="16"/>
              </w:rPr>
              <w:t>- форм-фактор: 2,5 дюйма</w:t>
            </w:r>
            <w:r w:rsidR="00037F40" w:rsidRPr="003C53A8">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037F40" w:rsidRPr="00FC51D9" w:rsidRDefault="00080E15" w:rsidP="007C0D48">
            <w:pPr>
              <w:autoSpaceDE w:val="0"/>
              <w:jc w:val="center"/>
              <w:rPr>
                <w:rFonts w:ascii="PT Astra Serif" w:hAnsi="PT Astra Serif"/>
                <w:sz w:val="20"/>
              </w:rPr>
            </w:pPr>
            <w:r>
              <w:rPr>
                <w:rFonts w:ascii="PT Astra Serif" w:hAnsi="PT Astra Serif"/>
                <w:sz w:val="20"/>
                <w:lang w:val="en-US"/>
              </w:rPr>
              <w:t>5</w:t>
            </w:r>
            <w:r w:rsidR="00037F40">
              <w:rPr>
                <w:rFonts w:ascii="PT Astra Serif" w:hAnsi="PT Astra Serif"/>
                <w:sz w:val="20"/>
                <w:lang w:val="en-US"/>
              </w:rPr>
              <w:t>0</w:t>
            </w:r>
          </w:p>
        </w:tc>
        <w:tc>
          <w:tcPr>
            <w:tcW w:w="1134" w:type="dxa"/>
            <w:tcBorders>
              <w:top w:val="single" w:sz="4" w:space="0" w:color="000000"/>
              <w:left w:val="single" w:sz="4" w:space="0" w:color="000000"/>
              <w:bottom w:val="single" w:sz="4" w:space="0" w:color="000000"/>
            </w:tcBorders>
            <w:shd w:val="clear" w:color="auto" w:fill="auto"/>
          </w:tcPr>
          <w:p w:rsidR="00037F40" w:rsidRPr="006968B2" w:rsidRDefault="00F63171" w:rsidP="00F63171">
            <w:pPr>
              <w:autoSpaceDE w:val="0"/>
              <w:jc w:val="center"/>
              <w:rPr>
                <w:rFonts w:ascii="PT Astra Serif" w:hAnsi="PT Astra Serif"/>
              </w:rPr>
            </w:pPr>
            <w:r>
              <w:rPr>
                <w:rFonts w:ascii="PT Astra Serif" w:hAnsi="PT Astra Serif"/>
                <w:sz w:val="20"/>
                <w:szCs w:val="20"/>
                <w:lang w:val="en-US"/>
              </w:rPr>
              <w:t>3</w:t>
            </w:r>
            <w:r w:rsidR="00037F40" w:rsidRPr="006968B2">
              <w:rPr>
                <w:rFonts w:ascii="PT Astra Serif" w:hAnsi="PT Astra Serif"/>
                <w:sz w:val="20"/>
                <w:szCs w:val="20"/>
              </w:rPr>
              <w:t xml:space="preserve"> </w:t>
            </w:r>
            <w:r>
              <w:rPr>
                <w:rFonts w:ascii="PT Astra Serif" w:hAnsi="PT Astra Serif"/>
                <w:sz w:val="20"/>
                <w:szCs w:val="20"/>
                <w:lang w:val="en-US"/>
              </w:rPr>
              <w:t>4</w:t>
            </w:r>
            <w:r w:rsidR="00037F40">
              <w:rPr>
                <w:rFonts w:ascii="PT Astra Serif" w:hAnsi="PT Astra Serif"/>
                <w:sz w:val="20"/>
                <w:szCs w:val="20"/>
                <w:lang w:val="en-US"/>
              </w:rPr>
              <w:t>50</w:t>
            </w:r>
            <w:r w:rsidR="00037F40"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37F40" w:rsidRPr="006968B2" w:rsidRDefault="00F63171" w:rsidP="00080E15">
            <w:pPr>
              <w:autoSpaceDE w:val="0"/>
              <w:jc w:val="center"/>
              <w:rPr>
                <w:rFonts w:ascii="PT Astra Serif" w:hAnsi="PT Astra Serif"/>
              </w:rPr>
            </w:pPr>
            <w:r>
              <w:rPr>
                <w:rFonts w:ascii="PT Astra Serif" w:hAnsi="PT Astra Serif"/>
                <w:sz w:val="20"/>
                <w:szCs w:val="20"/>
                <w:lang w:val="en-US"/>
              </w:rPr>
              <w:t>1</w:t>
            </w:r>
            <w:r w:rsidR="00080E15">
              <w:rPr>
                <w:rFonts w:ascii="PT Astra Serif" w:hAnsi="PT Astra Serif"/>
                <w:sz w:val="20"/>
                <w:szCs w:val="20"/>
                <w:lang w:val="en-US"/>
              </w:rPr>
              <w:t>72</w:t>
            </w:r>
            <w:r w:rsidR="00037F40" w:rsidRPr="00883F9D">
              <w:rPr>
                <w:rFonts w:ascii="PT Astra Serif" w:hAnsi="PT Astra Serif"/>
                <w:sz w:val="20"/>
                <w:szCs w:val="20"/>
              </w:rPr>
              <w:t xml:space="preserve"> </w:t>
            </w:r>
            <w:r>
              <w:rPr>
                <w:rFonts w:ascii="PT Astra Serif" w:hAnsi="PT Astra Serif"/>
                <w:sz w:val="20"/>
                <w:szCs w:val="20"/>
                <w:lang w:val="en-US"/>
              </w:rPr>
              <w:t>5</w:t>
            </w:r>
            <w:r w:rsidR="00037F40">
              <w:rPr>
                <w:rFonts w:ascii="PT Astra Serif" w:hAnsi="PT Astra Serif"/>
                <w:sz w:val="20"/>
                <w:szCs w:val="20"/>
                <w:lang w:val="en-US"/>
              </w:rPr>
              <w:t>00</w:t>
            </w:r>
            <w:r w:rsidR="00037F40"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F63171" w:rsidP="00080E15">
            <w:pPr>
              <w:autoSpaceDE w:val="0"/>
              <w:jc w:val="center"/>
              <w:rPr>
                <w:rFonts w:ascii="PT Astra Serif" w:hAnsi="PT Astra Serif"/>
              </w:rPr>
            </w:pPr>
            <w:r>
              <w:rPr>
                <w:rFonts w:ascii="PT Astra Serif" w:hAnsi="PT Astra Serif"/>
                <w:b/>
                <w:sz w:val="20"/>
                <w:szCs w:val="20"/>
                <w:lang w:val="en-US"/>
              </w:rPr>
              <w:t>1</w:t>
            </w:r>
            <w:r w:rsidR="00080E15">
              <w:rPr>
                <w:rFonts w:ascii="PT Astra Serif" w:hAnsi="PT Astra Serif"/>
                <w:b/>
                <w:sz w:val="20"/>
                <w:szCs w:val="20"/>
                <w:lang w:val="en-US"/>
              </w:rPr>
              <w:t>72</w:t>
            </w:r>
            <w:r w:rsidR="0030700B" w:rsidRPr="00F26A34">
              <w:rPr>
                <w:rFonts w:ascii="PT Astra Serif" w:hAnsi="PT Astra Serif"/>
                <w:b/>
                <w:sz w:val="20"/>
                <w:szCs w:val="20"/>
              </w:rPr>
              <w:t xml:space="preserve"> </w:t>
            </w:r>
            <w:r>
              <w:rPr>
                <w:rFonts w:ascii="PT Astra Serif" w:hAnsi="PT Astra Serif"/>
                <w:b/>
                <w:sz w:val="20"/>
                <w:szCs w:val="20"/>
                <w:lang w:val="en-US"/>
              </w:rPr>
              <w:t>5</w:t>
            </w:r>
            <w:r w:rsidR="00C355E6">
              <w:rPr>
                <w:rFonts w:ascii="PT Astra Serif" w:hAnsi="PT Astra Serif"/>
                <w:b/>
                <w:sz w:val="20"/>
                <w:szCs w:val="20"/>
                <w:lang w:val="en-US"/>
              </w:rPr>
              <w:t>0</w:t>
            </w:r>
            <w:r w:rsidR="00932CB2">
              <w:rPr>
                <w:rFonts w:ascii="PT Astra Serif" w:hAnsi="PT Astra Serif"/>
                <w:b/>
                <w:sz w:val="20"/>
                <w:szCs w:val="20"/>
              </w:rPr>
              <w:t>0</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BA2ACD" w:rsidRPr="004D1289">
        <w:rPr>
          <w:rFonts w:ascii="PT Astra Serif" w:hAnsi="PT Astra Serif"/>
          <w:szCs w:val="28"/>
          <w:u w:val="single"/>
        </w:rPr>
        <w:t>0</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Югорска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lastRenderedPageBreak/>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 Под </w:t>
      </w:r>
      <w:r w:rsidRPr="004D1289">
        <w:rPr>
          <w:rFonts w:ascii="PT Astra Serif" w:hAnsi="PT Astra Serif"/>
          <w:szCs w:val="28"/>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37034C">
        <w:rPr>
          <w:rFonts w:ascii="PT Astra Serif" w:hAnsi="PT Astra Serif"/>
          <w:szCs w:val="28"/>
        </w:rPr>
        <w:t>02</w:t>
      </w:r>
      <w:r w:rsidR="001A3C2D" w:rsidRPr="004D1289">
        <w:rPr>
          <w:rFonts w:ascii="PT Astra Serif" w:hAnsi="PT Astra Serif"/>
          <w:szCs w:val="28"/>
        </w:rPr>
        <w:t xml:space="preserve">__» </w:t>
      </w:r>
      <w:r w:rsidR="0037034C">
        <w:rPr>
          <w:rFonts w:ascii="PT Astra Serif" w:hAnsi="PT Astra Serif"/>
          <w:szCs w:val="28"/>
        </w:rPr>
        <w:t>августа</w:t>
      </w:r>
      <w:r w:rsidR="001A3C2D" w:rsidRPr="004D1289">
        <w:rPr>
          <w:rFonts w:ascii="PT Astra Serif" w:hAnsi="PT Astra Serif"/>
          <w:szCs w:val="28"/>
        </w:rPr>
        <w:t xml:space="preserve">_____________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37034C">
        <w:rPr>
          <w:rFonts w:ascii="PT Astra Serif" w:hAnsi="PT Astra Serif"/>
          <w:szCs w:val="28"/>
        </w:rPr>
        <w:t>03</w:t>
      </w:r>
      <w:r w:rsidRPr="004D1289">
        <w:rPr>
          <w:rFonts w:ascii="PT Astra Serif" w:hAnsi="PT Astra Serif"/>
          <w:szCs w:val="28"/>
        </w:rPr>
        <w:t>__» _</w:t>
      </w:r>
      <w:r w:rsidR="0037034C">
        <w:rPr>
          <w:rFonts w:ascii="PT Astra Serif" w:hAnsi="PT Astra Serif"/>
          <w:szCs w:val="28"/>
        </w:rPr>
        <w:t>августа</w:t>
      </w:r>
      <w:r w:rsidRPr="004D1289">
        <w:rPr>
          <w:rFonts w:ascii="PT Astra Serif" w:hAnsi="PT Astra Serif"/>
          <w:szCs w:val="28"/>
        </w:rPr>
        <w:t xml:space="preserve">________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«_</w:t>
      </w:r>
      <w:r w:rsidR="0037034C">
        <w:rPr>
          <w:rFonts w:ascii="PT Astra Serif" w:hAnsi="PT Astra Serif"/>
          <w:szCs w:val="28"/>
        </w:rPr>
        <w:t>04</w:t>
      </w:r>
      <w:r w:rsidR="00343D9A" w:rsidRPr="004D1289">
        <w:rPr>
          <w:rFonts w:ascii="PT Astra Serif" w:hAnsi="PT Astra Serif"/>
          <w:szCs w:val="28"/>
        </w:rPr>
        <w:t xml:space="preserve">_» </w:t>
      </w:r>
      <w:r w:rsidR="0037034C">
        <w:rPr>
          <w:rFonts w:ascii="PT Astra Serif" w:hAnsi="PT Astra Serif"/>
          <w:szCs w:val="28"/>
        </w:rPr>
        <w:t>августа</w:t>
      </w:r>
      <w:r w:rsidR="00343D9A" w:rsidRPr="004D1289">
        <w:rPr>
          <w:rFonts w:ascii="PT Astra Serif" w:hAnsi="PT Astra Serif"/>
          <w:szCs w:val="28"/>
        </w:rPr>
        <w:t xml:space="preserve">_______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bookmarkStart w:id="0" w:name="_GoBack"/>
      <w:bookmarkEnd w:id="0"/>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F63171" w:rsidRPr="00F63171">
        <w:rPr>
          <w:rFonts w:ascii="PT Astra Serif" w:hAnsi="PT Astra Serif"/>
          <w:color w:val="000099"/>
          <w:szCs w:val="28"/>
        </w:rPr>
        <w:t xml:space="preserve">1 </w:t>
      </w:r>
      <w:r w:rsidR="0072086B">
        <w:rPr>
          <w:rFonts w:ascii="PT Astra Serif" w:hAnsi="PT Astra Serif"/>
          <w:color w:val="000099"/>
          <w:szCs w:val="28"/>
        </w:rPr>
        <w:t>72</w:t>
      </w:r>
      <w:r w:rsidR="00F63171" w:rsidRPr="00F63171">
        <w:rPr>
          <w:rFonts w:ascii="PT Astra Serif" w:hAnsi="PT Astra Serif"/>
          <w:color w:val="000099"/>
          <w:szCs w:val="28"/>
        </w:rPr>
        <w:t>5</w:t>
      </w:r>
      <w:r w:rsidR="00F26A34" w:rsidRPr="004D1289">
        <w:rPr>
          <w:rFonts w:ascii="PT Astra Serif" w:hAnsi="PT Astra Serif"/>
          <w:color w:val="000099"/>
          <w:szCs w:val="28"/>
        </w:rPr>
        <w:t xml:space="preserve"> (</w:t>
      </w:r>
      <w:r w:rsidR="00F63171">
        <w:rPr>
          <w:rFonts w:ascii="PT Astra Serif" w:hAnsi="PT Astra Serif"/>
          <w:color w:val="000099"/>
          <w:szCs w:val="28"/>
        </w:rPr>
        <w:t xml:space="preserve">одна тысяча </w:t>
      </w:r>
      <w:r w:rsidR="0072086B">
        <w:rPr>
          <w:rFonts w:ascii="PT Astra Serif" w:hAnsi="PT Astra Serif"/>
          <w:color w:val="000099"/>
          <w:szCs w:val="28"/>
        </w:rPr>
        <w:t>семьсот двадцать</w:t>
      </w:r>
      <w:r w:rsidR="00F63171">
        <w:rPr>
          <w:rFonts w:ascii="PT Astra Serif" w:hAnsi="PT Astra Serif"/>
          <w:color w:val="000099"/>
          <w:szCs w:val="28"/>
        </w:rPr>
        <w:t xml:space="preserve"> пять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C355E6">
        <w:rPr>
          <w:rFonts w:ascii="PT Astra Serif" w:hAnsi="PT Astra Serif"/>
          <w:color w:val="000099"/>
          <w:szCs w:val="28"/>
        </w:rPr>
        <w:t>0</w:t>
      </w:r>
      <w:r w:rsidR="00932CB2">
        <w:rPr>
          <w:rFonts w:ascii="PT Astra Serif" w:hAnsi="PT Astra Serif"/>
          <w:color w:val="000099"/>
          <w:szCs w:val="28"/>
        </w:rPr>
        <w:t>0</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w:t>
      </w:r>
      <w:r w:rsidRPr="004D1289">
        <w:rPr>
          <w:rFonts w:ascii="PT Astra Serif" w:hAnsi="PT Astra Serif"/>
          <w:szCs w:val="28"/>
        </w:rPr>
        <w:lastRenderedPageBreak/>
        <w:t>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Банк: РКЦ Ханты-Мансийск г. Ханты-Мансийск//УФК по Ханты-Мансийскому автономному округу-Югре, БИК 007162163, к/с 40102810245370000007, р/с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Pr="004D1289">
        <w:rPr>
          <w:rFonts w:ascii="PT Astra Serif" w:hAnsi="PT Astra Serif"/>
          <w:szCs w:val="28"/>
        </w:rPr>
        <w:lastRenderedPageBreak/>
        <w:t>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B01BBA" w:rsidRPr="004D1289">
        <w:rPr>
          <w:rFonts w:ascii="PT Astra Serif" w:hAnsi="PT Astra Serif"/>
          <w:color w:val="000099"/>
          <w:szCs w:val="28"/>
        </w:rPr>
        <w:t xml:space="preserve">запасных частей для </w:t>
      </w:r>
      <w:r w:rsidR="00F26A34" w:rsidRPr="004D1289">
        <w:rPr>
          <w:rFonts w:ascii="PT Astra Serif" w:hAnsi="PT Astra Serif"/>
          <w:color w:val="000099"/>
          <w:szCs w:val="28"/>
        </w:rPr>
        <w:t>средств вычислительной 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E2281" w:rsidRPr="009E2281">
        <w:rPr>
          <w:rFonts w:ascii="PT Astra Serif" w:hAnsi="PT Astra Serif"/>
          <w:szCs w:val="28"/>
          <w:u w:val="single"/>
        </w:rPr>
        <w:t>не установлено;</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C3" w:rsidRDefault="007A7BC3">
      <w:r>
        <w:separator/>
      </w:r>
    </w:p>
  </w:endnote>
  <w:endnote w:type="continuationSeparator" w:id="0">
    <w:p w:rsidR="007A7BC3" w:rsidRDefault="007A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37034C">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C3" w:rsidRDefault="007A7BC3">
      <w:r>
        <w:separator/>
      </w:r>
    </w:p>
  </w:footnote>
  <w:footnote w:type="continuationSeparator" w:id="0">
    <w:p w:rsidR="007A7BC3" w:rsidRDefault="007A7BC3">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7F40"/>
    <w:rsid w:val="000437E1"/>
    <w:rsid w:val="00053173"/>
    <w:rsid w:val="00060F3A"/>
    <w:rsid w:val="00080E15"/>
    <w:rsid w:val="00091166"/>
    <w:rsid w:val="00094050"/>
    <w:rsid w:val="000A3093"/>
    <w:rsid w:val="000C02EA"/>
    <w:rsid w:val="000D0B5C"/>
    <w:rsid w:val="000D2292"/>
    <w:rsid w:val="0010042E"/>
    <w:rsid w:val="00105FC8"/>
    <w:rsid w:val="00123512"/>
    <w:rsid w:val="00125B64"/>
    <w:rsid w:val="00126B34"/>
    <w:rsid w:val="00127F78"/>
    <w:rsid w:val="00130DE8"/>
    <w:rsid w:val="00143D6A"/>
    <w:rsid w:val="00167498"/>
    <w:rsid w:val="001846C2"/>
    <w:rsid w:val="0019610F"/>
    <w:rsid w:val="001A3C2D"/>
    <w:rsid w:val="001B194F"/>
    <w:rsid w:val="001B7CBE"/>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5A46"/>
    <w:rsid w:val="00362145"/>
    <w:rsid w:val="0037034C"/>
    <w:rsid w:val="00376347"/>
    <w:rsid w:val="00376961"/>
    <w:rsid w:val="003774CD"/>
    <w:rsid w:val="003774F3"/>
    <w:rsid w:val="00397941"/>
    <w:rsid w:val="003A3856"/>
    <w:rsid w:val="003B18A9"/>
    <w:rsid w:val="003B4294"/>
    <w:rsid w:val="003C53A8"/>
    <w:rsid w:val="003D4AF5"/>
    <w:rsid w:val="003D528B"/>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50F29"/>
    <w:rsid w:val="00554817"/>
    <w:rsid w:val="00564F36"/>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4422"/>
    <w:rsid w:val="006360A9"/>
    <w:rsid w:val="0064242F"/>
    <w:rsid w:val="00647071"/>
    <w:rsid w:val="00652D93"/>
    <w:rsid w:val="00674DDF"/>
    <w:rsid w:val="00690E1D"/>
    <w:rsid w:val="006928E9"/>
    <w:rsid w:val="006968B2"/>
    <w:rsid w:val="00697FC1"/>
    <w:rsid w:val="006A12DA"/>
    <w:rsid w:val="006B3CD7"/>
    <w:rsid w:val="006C4869"/>
    <w:rsid w:val="006E3B42"/>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A7BC3"/>
    <w:rsid w:val="007C220B"/>
    <w:rsid w:val="007D6DCB"/>
    <w:rsid w:val="007F1161"/>
    <w:rsid w:val="007F3174"/>
    <w:rsid w:val="007F5800"/>
    <w:rsid w:val="0081483E"/>
    <w:rsid w:val="008238A9"/>
    <w:rsid w:val="00830034"/>
    <w:rsid w:val="00836486"/>
    <w:rsid w:val="00870255"/>
    <w:rsid w:val="00883F9D"/>
    <w:rsid w:val="008A6B7A"/>
    <w:rsid w:val="008B0408"/>
    <w:rsid w:val="008C0659"/>
    <w:rsid w:val="008C1BF5"/>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6C24"/>
    <w:rsid w:val="009E0B3F"/>
    <w:rsid w:val="009E220F"/>
    <w:rsid w:val="009E2281"/>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63171"/>
    <w:rsid w:val="00F87249"/>
    <w:rsid w:val="00F91A45"/>
    <w:rsid w:val="00F936D6"/>
    <w:rsid w:val="00FA13EA"/>
    <w:rsid w:val="00FA6D22"/>
    <w:rsid w:val="00FB636E"/>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7</Pages>
  <Words>3442</Words>
  <Characters>19622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47</cp:revision>
  <cp:lastPrinted>2021-07-09T08:19:00Z</cp:lastPrinted>
  <dcterms:created xsi:type="dcterms:W3CDTF">2020-10-19T12:15:00Z</dcterms:created>
  <dcterms:modified xsi:type="dcterms:W3CDTF">2021-07-22T06:24:00Z</dcterms:modified>
</cp:coreProperties>
</file>