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6" w:rsidRDefault="00FB6366" w:rsidP="00FB63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B6366" w:rsidRDefault="00FB6366" w:rsidP="00FB63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FB6366" w:rsidRDefault="00FB6366" w:rsidP="00FB63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B6366" w:rsidRDefault="00FB6366" w:rsidP="00FB63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FB6366" w:rsidRDefault="00FB6366" w:rsidP="00FB6366">
      <w:pPr>
        <w:jc w:val="center"/>
        <w:rPr>
          <w:b/>
          <w:sz w:val="24"/>
          <w:szCs w:val="24"/>
        </w:rPr>
      </w:pPr>
    </w:p>
    <w:p w:rsidR="00FB6366" w:rsidRDefault="00FB6366" w:rsidP="00FB6366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«10» июня 2021 г.                                                                                           № 0187300005821000229-1</w:t>
      </w:r>
    </w:p>
    <w:p w:rsidR="00FB6366" w:rsidRDefault="00FB6366" w:rsidP="00FB6366">
      <w:pPr>
        <w:ind w:left="-142"/>
        <w:jc w:val="both"/>
        <w:rPr>
          <w:rFonts w:ascii="PT Astra Serif" w:hAnsi="PT Astra Serif"/>
          <w:sz w:val="24"/>
          <w:szCs w:val="24"/>
        </w:rPr>
      </w:pPr>
    </w:p>
    <w:p w:rsidR="00FB6366" w:rsidRDefault="00FB6366" w:rsidP="00FB636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B6366" w:rsidRDefault="00FB6366" w:rsidP="00FB6366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  <w:proofErr w:type="gramEnd"/>
    </w:p>
    <w:p w:rsidR="00FB6366" w:rsidRDefault="00FB6366" w:rsidP="00FB6366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 А.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Климин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Н.А. Морозова - советник руководителя;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6366" w:rsidRDefault="00FB6366" w:rsidP="00FB636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6366" w:rsidRDefault="00FB6366" w:rsidP="00FB6366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6 членов комиссии из 8.</w:t>
      </w:r>
    </w:p>
    <w:p w:rsidR="00FB6366" w:rsidRDefault="00FB6366" w:rsidP="00FB6366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специалист по закупкам МБОУ «Гимназия».</w:t>
      </w:r>
    </w:p>
    <w:p w:rsidR="00FB6366" w:rsidRDefault="00FB6366" w:rsidP="00FB6366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0187300005821000229 </w:t>
      </w:r>
      <w:r w:rsidRPr="00057172">
        <w:rPr>
          <w:rFonts w:ascii="PT Astra Serif" w:hAnsi="PT Astra Serif"/>
          <w:sz w:val="24"/>
          <w:szCs w:val="24"/>
        </w:rPr>
        <w:t>для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муки пшеничной и макаронных изделий</w:t>
      </w:r>
      <w:r>
        <w:rPr>
          <w:rFonts w:ascii="PT Astra Serif" w:hAnsi="PT Astra Serif"/>
          <w:sz w:val="24"/>
          <w:szCs w:val="24"/>
        </w:rPr>
        <w:t>.</w:t>
      </w:r>
    </w:p>
    <w:p w:rsidR="00057172" w:rsidRDefault="00FB6366" w:rsidP="00057172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57172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0187300005821000229. </w:t>
      </w:r>
    </w:p>
    <w:p w:rsidR="00FB6366" w:rsidRDefault="00FB6366" w:rsidP="00057172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B6366">
        <w:rPr>
          <w:rFonts w:ascii="PT Astra Serif" w:hAnsi="PT Astra Serif"/>
          <w:sz w:val="24"/>
          <w:szCs w:val="24"/>
        </w:rPr>
        <w:t>21 38622001011862201001 0041 001 0000 244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FB6366" w:rsidRDefault="00FB6366" w:rsidP="00FB6366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Ханты - Мансийский автономный округ - Югра, г. Югорск, ул. Мира, 6.</w:t>
      </w:r>
      <w:proofErr w:type="gramEnd"/>
    </w:p>
    <w:p w:rsidR="00FB6366" w:rsidRDefault="00FB6366" w:rsidP="00FB636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10 июня 2021 года, по адресу: ул. 40 лет Победы, 11, г. Югорск, Ханты-Мансийский  автономный  округ-Югра, Тюменская область.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«09» июня 2021г. 10 часов 00 минут была подана: 1 (одна) заявка на участие в аукционе (п</w:t>
      </w:r>
      <w:r w:rsidR="00057172">
        <w:rPr>
          <w:rFonts w:ascii="PT Serif" w:hAnsi="PT Serif"/>
          <w:sz w:val="24"/>
        </w:rPr>
        <w:t>од номером № 153</w:t>
      </w:r>
      <w:r>
        <w:rPr>
          <w:rFonts w:ascii="PT Serif" w:hAnsi="PT Serif"/>
          <w:sz w:val="24"/>
        </w:rPr>
        <w:t>).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6.1) о соответствии участника аукциона, подавшего единственную заявку на участие в </w:t>
      </w:r>
      <w:r>
        <w:rPr>
          <w:rFonts w:ascii="PT Serif" w:hAnsi="PT Serif"/>
          <w:sz w:val="24"/>
        </w:rPr>
        <w:lastRenderedPageBreak/>
        <w:t xml:space="preserve">аукционе, и поданной им заявки № </w:t>
      </w:r>
      <w:r w:rsidR="00057172">
        <w:rPr>
          <w:rFonts w:ascii="PT Serif" w:hAnsi="PT Serif"/>
          <w:spacing w:val="-6"/>
          <w:sz w:val="24"/>
          <w:szCs w:val="24"/>
        </w:rPr>
        <w:t>153</w:t>
      </w:r>
      <w:r>
        <w:rPr>
          <w:rFonts w:ascii="PT Serif" w:hAnsi="PT Serif"/>
          <w:spacing w:val="-6"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7. Среди предложений участников закупки, признанных участниками электронного аукциона, не присутствуют предложения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FB6366" w:rsidTr="00FB6366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FB6366" w:rsidTr="00FB6366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5"/>
              <w:gridCol w:w="5390"/>
            </w:tblGrid>
            <w:tr w:rsidR="00FB6366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lang w:eastAsia="en-US"/>
                    </w:rPr>
                    <w:t>ОБЩЕСТВО С ОГРАНИЧЕННОЙ ОТВЕТСТВЕННОСТЬЮ "ПРОДТОРГ"</w:t>
                  </w:r>
                </w:p>
              </w:tc>
            </w:tr>
            <w:tr w:rsidR="00FB6366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>6671124245</w:t>
                  </w:r>
                </w:p>
              </w:tc>
            </w:tr>
            <w:tr w:rsidR="00FB6366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>667101001</w:t>
                  </w:r>
                </w:p>
              </w:tc>
            </w:tr>
            <w:tr w:rsidR="00FB6366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620142,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>ОБЛ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FB6366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6366" w:rsidRDefault="00FB6366">
                  <w:pPr>
                    <w:spacing w:line="276" w:lineRule="auto"/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620142,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>ОБЛ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  <w:t xml:space="preserve"> СВЕРДЛОВСКАЯ, Г ЕКАТЕРИНБУРГ, УЛ ЧАПАЕВА, ДОМ 21</w:t>
                  </w:r>
                </w:p>
              </w:tc>
            </w:tr>
          </w:tbl>
          <w:p w:rsidR="00FB6366" w:rsidRDefault="00FB636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B6366" w:rsidRDefault="00FB6366" w:rsidP="00FB6366">
      <w:pPr>
        <w:tabs>
          <w:tab w:val="left" w:pos="426"/>
          <w:tab w:val="left" w:pos="567"/>
        </w:tabs>
        <w:ind w:left="426"/>
        <w:jc w:val="both"/>
        <w:rPr>
          <w:rFonts w:ascii="PT Astra Serif" w:hAnsi="PT Astra Serif"/>
          <w:sz w:val="24"/>
          <w:szCs w:val="24"/>
        </w:rPr>
      </w:pPr>
    </w:p>
    <w:p w:rsidR="00FB6366" w:rsidRDefault="00FB6366" w:rsidP="00FB6366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FB6366" w:rsidRDefault="00FB6366" w:rsidP="00FB6366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FB6366" w:rsidRDefault="00FB6366" w:rsidP="00FB6366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p w:rsidR="00FB6366" w:rsidRDefault="00FB6366" w:rsidP="00FB6366">
      <w:pPr>
        <w:rPr>
          <w:rFonts w:ascii="PT Astra Serif" w:hAnsi="PT Astra Serif"/>
          <w:noProof/>
          <w:sz w:val="24"/>
          <w:szCs w:val="24"/>
        </w:rPr>
      </w:pPr>
    </w:p>
    <w:tbl>
      <w:tblPr>
        <w:tblW w:w="1035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30"/>
        <w:gridCol w:w="2126"/>
        <w:gridCol w:w="2694"/>
      </w:tblGrid>
      <w:tr w:rsidR="00FB6366" w:rsidTr="00FB6366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Состав комиссии</w:t>
            </w:r>
          </w:p>
        </w:tc>
      </w:tr>
      <w:tr w:rsidR="00FB6366" w:rsidTr="00FB6366">
        <w:trPr>
          <w:trHeight w:val="17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FB6366" w:rsidTr="00FB6366">
        <w:trPr>
          <w:trHeight w:val="17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FB6366" w:rsidTr="00FB6366">
        <w:trPr>
          <w:trHeight w:val="17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6" w:rsidRDefault="00FB6366">
            <w:pPr>
              <w:spacing w:after="60" w:line="276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FB6366" w:rsidTr="00FB6366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FB6366" w:rsidTr="00FB6366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6" w:rsidRDefault="00FB636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B6366" w:rsidTr="00FB6366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6" w:rsidRDefault="00FB6366">
            <w:pPr>
              <w:spacing w:line="276" w:lineRule="auto"/>
              <w:rPr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6" w:rsidRDefault="00FB636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6" w:rsidRDefault="00FB6366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B6366" w:rsidRDefault="00FB6366" w:rsidP="00FB6366">
      <w:pPr>
        <w:jc w:val="both"/>
        <w:rPr>
          <w:b/>
          <w:color w:val="FF0000"/>
          <w:sz w:val="24"/>
          <w:szCs w:val="24"/>
        </w:rPr>
      </w:pPr>
    </w:p>
    <w:p w:rsidR="00FB6366" w:rsidRDefault="00FB6366" w:rsidP="00FB6366">
      <w:pPr>
        <w:ind w:left="426" w:hanging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FB6366" w:rsidRDefault="00FB6366" w:rsidP="00FB6366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FB6366" w:rsidRDefault="00FB6366" w:rsidP="00FB6366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B6366" w:rsidRDefault="00FB6366" w:rsidP="00FB6366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   </w:t>
      </w:r>
    </w:p>
    <w:p w:rsidR="00FB6366" w:rsidRDefault="00FB6366" w:rsidP="00FB6366">
      <w:pPr>
        <w:jc w:val="right"/>
        <w:rPr>
          <w:sz w:val="24"/>
        </w:rPr>
      </w:pPr>
      <w:r>
        <w:rPr>
          <w:sz w:val="24"/>
        </w:rPr>
        <w:t xml:space="preserve">___________________Н.А. Морозова                                                           </w:t>
      </w:r>
    </w:p>
    <w:p w:rsidR="00FB6366" w:rsidRDefault="00FB6366" w:rsidP="00FB6366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FB6366" w:rsidRDefault="00FB6366" w:rsidP="00FB6366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FB6366" w:rsidRDefault="00FB6366" w:rsidP="00FB6366">
      <w:pPr>
        <w:jc w:val="right"/>
        <w:rPr>
          <w:sz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____________________Н.Б. Захарова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B6366" w:rsidRDefault="00FB6366" w:rsidP="00FB6366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FB6366" w:rsidRDefault="00FB6366" w:rsidP="00FB6366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О.В. Смирнова</w:t>
      </w:r>
    </w:p>
    <w:p w:rsidR="00DB70EA" w:rsidRDefault="00DB70EA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 w:rsidP="001B0C22">
      <w:pPr>
        <w:jc w:val="right"/>
        <w:rPr>
          <w:rFonts w:ascii="PT Astra Serif" w:hAnsi="PT Astra Serif"/>
        </w:rPr>
        <w:sectPr w:rsidR="001B0C22" w:rsidSect="00FB6366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1B0C22" w:rsidRDefault="001B0C22" w:rsidP="001B0C2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</w:p>
    <w:p w:rsidR="001B0C22" w:rsidRDefault="001B0C22" w:rsidP="001B0C22">
      <w:pPr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 протоколу рассмотрения единственной заявки</w:t>
      </w:r>
    </w:p>
    <w:p w:rsidR="001B0C22" w:rsidRDefault="001B0C22" w:rsidP="001B0C2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</w:p>
    <w:p w:rsidR="001B0C22" w:rsidRDefault="001B0C22" w:rsidP="001B0C2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«10» июня 2021 г. № </w:t>
      </w:r>
      <w:r>
        <w:rPr>
          <w:rFonts w:ascii="PT Astra Serif" w:hAnsi="PT Astra Serif"/>
          <w:color w:val="000000"/>
        </w:rPr>
        <w:t>0187300005821000229</w:t>
      </w:r>
      <w:r>
        <w:rPr>
          <w:rFonts w:ascii="PT Astra Serif" w:hAnsi="PT Astra Serif"/>
        </w:rPr>
        <w:t>-1</w:t>
      </w:r>
    </w:p>
    <w:p w:rsidR="001B0C22" w:rsidRDefault="001B0C22" w:rsidP="001B0C2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Таблица рассмотрения единственной заявки</w:t>
      </w:r>
    </w:p>
    <w:p w:rsidR="001B0C22" w:rsidRDefault="001B0C22" w:rsidP="001B0C2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  <w:r>
        <w:rPr>
          <w:rFonts w:ascii="PT Astra Serif" w:hAnsi="PT Astra Serif"/>
          <w:bCs/>
        </w:rPr>
        <w:t xml:space="preserve"> среди субъектов малого предпринимательства и социально ориентированных некоммерческих организаций на поставку муки пшеничной и макаронных изделий</w:t>
      </w:r>
      <w:r>
        <w:rPr>
          <w:rFonts w:ascii="PT Astra Serif" w:hAnsi="PT Astra Serif"/>
        </w:rPr>
        <w:t xml:space="preserve"> </w:t>
      </w:r>
    </w:p>
    <w:p w:rsidR="001B0C22" w:rsidRDefault="001B0C22" w:rsidP="001B0C2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«Гимназия»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426"/>
        <w:gridCol w:w="4527"/>
        <w:gridCol w:w="421"/>
        <w:gridCol w:w="718"/>
        <w:gridCol w:w="1002"/>
        <w:gridCol w:w="831"/>
        <w:gridCol w:w="7"/>
        <w:gridCol w:w="288"/>
        <w:gridCol w:w="2825"/>
      </w:tblGrid>
      <w:tr w:rsidR="001B0C22" w:rsidTr="001B0C22">
        <w:trPr>
          <w:trHeight w:val="418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1B0C22" w:rsidRPr="001B0C22" w:rsidRDefault="001B0C22" w:rsidP="001B0C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1) наименование страны происхождения товара;</w:t>
            </w:r>
          </w:p>
          <w:p w:rsidR="001B0C22" w:rsidRPr="001B0C22" w:rsidRDefault="001B0C22" w:rsidP="001B0C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gramStart"/>
            <w:r w:rsidRPr="001B0C22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 (информация,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</w:t>
            </w:r>
            <w:proofErr w:type="gramEnd"/>
            <w:r w:rsidRPr="001B0C22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 xml:space="preserve"> в документации об электронном аукционе).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п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22" w:rsidRPr="001B0C22" w:rsidRDefault="001B0C22" w:rsidP="001B0C2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Характеристика товара</w:t>
            </w:r>
          </w:p>
          <w:p w:rsidR="001B0C22" w:rsidRPr="001B0C22" w:rsidRDefault="001B0C22" w:rsidP="001B0C2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Остаточный срок годности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Ед.</w:t>
            </w:r>
          </w:p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изм.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поставляемых товаров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Default="001B0C22" w:rsidP="001B0C2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</w:tr>
      <w:tr w:rsidR="001B0C22" w:rsidTr="001B0C22">
        <w:trPr>
          <w:trHeight w:val="1036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Default="001B0C22" w:rsidP="001B0C2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153</w:t>
            </w:r>
          </w:p>
        </w:tc>
      </w:tr>
      <w:tr w:rsidR="001B0C22" w:rsidTr="001B0C22">
        <w:trPr>
          <w:trHeight w:val="1427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tabs>
                <w:tab w:val="left" w:pos="708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Изделия макаронные. Вид изделия макаронного: Изделие макаронное фигурное. Вид сырья: Пшеничная мука. Группа макаронных изделий из пшеничной муки: А. Сорт макаронных изделий из пшеничной муки: Высший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Не менее 3 месяца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килограмм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Default="001B0C22" w:rsidP="001B0C2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соответствует</w:t>
            </w:r>
          </w:p>
        </w:tc>
      </w:tr>
      <w:tr w:rsidR="001B0C22" w:rsidTr="001B0C22">
        <w:trPr>
          <w:trHeight w:val="1427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tabs>
                <w:tab w:val="left" w:pos="708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Мука пшеничная. Вид муки: Хлебопекарная. Сорт пшеничной хлебопекарной муки, не ниже: Высший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Не менее 3 месяца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килограмм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550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22" w:rsidRDefault="001B0C22" w:rsidP="001B0C2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соответствует</w:t>
            </w:r>
          </w:p>
        </w:tc>
      </w:tr>
      <w:tr w:rsidR="001B0C22" w:rsidTr="001B0C22">
        <w:trPr>
          <w:cantSplit/>
          <w:trHeight w:val="20"/>
        </w:trPr>
        <w:tc>
          <w:tcPr>
            <w:tcW w:w="12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Default="001B0C22" w:rsidP="001B0C22">
            <w:pPr>
              <w:suppressAutoHyphens/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  <w:t>153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«ПРОДТОРГ», г. Екатеринбург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1.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-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несостоятельным (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банкротом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)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1B0C22" w:rsidTr="001B0C22">
        <w:trPr>
          <w:cantSplit/>
          <w:trHeight w:val="537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lastRenderedPageBreak/>
              <w:t xml:space="preserve">4. </w:t>
            </w:r>
            <w:proofErr w:type="gramStart"/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5.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неполнородными</w:t>
            </w:r>
            <w:proofErr w:type="spell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6. 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,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в том числе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о</w:t>
            </w: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0C2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right="567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7. Документы, подтверждающие соответствие участника аукциона и (или) предлагаемых им услуг условиям, запретам и ограничениям, или копии этих документов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Декларация</w:t>
            </w: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соответствии с приказом Минфина России от 04.06.2018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</w:t>
            </w:r>
          </w:p>
        </w:tc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продекларирована.</w:t>
            </w:r>
          </w:p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страны происхождения товара – Россия.</w:t>
            </w:r>
          </w:p>
          <w:p w:rsidR="001B0C22" w:rsidRPr="001B0C22" w:rsidRDefault="001B0C22" w:rsidP="001B0C22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Приказ не применяется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0C22" w:rsidRPr="001B0C22" w:rsidRDefault="001B0C22" w:rsidP="001B0C22">
            <w:pPr>
              <w:snapToGrid w:val="0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 xml:space="preserve">  8. Принадлежность участника  закупки к офшорным компаниям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B0C22" w:rsidTr="001B0C22">
        <w:trPr>
          <w:cantSplit/>
          <w:trHeight w:val="20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 9. Объем предоставленных документов и сведений для участия в аукционе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1B0C22" w:rsidTr="001B0C22">
        <w:trPr>
          <w:cantSplit/>
          <w:trHeight w:val="24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0C22" w:rsidRPr="001B0C22" w:rsidRDefault="001B0C22" w:rsidP="001B0C22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B0C22">
              <w:rPr>
                <w:rFonts w:ascii="PT Astra Serif" w:hAnsi="PT Astra Serif"/>
                <w:sz w:val="16"/>
                <w:szCs w:val="16"/>
                <w:lang w:eastAsia="ar-SA"/>
              </w:rPr>
              <w:t>119. Начальная (максимальная) цена контракта 64 962 (Шестьдесят четыре тысячи девятьсот шестьдесят два) рубля 50 копеек</w:t>
            </w:r>
          </w:p>
        </w:tc>
      </w:tr>
    </w:tbl>
    <w:p w:rsidR="001B0C22" w:rsidRDefault="001B0C22">
      <w:pPr>
        <w:sectPr w:rsidR="001B0C22" w:rsidSect="001B0C22">
          <w:pgSz w:w="16838" w:h="11906" w:orient="landscape"/>
          <w:pgMar w:top="284" w:right="284" w:bottom="284" w:left="1134" w:header="709" w:footer="709" w:gutter="0"/>
          <w:cols w:space="708"/>
          <w:docGrid w:linePitch="360"/>
        </w:sectPr>
      </w:pPr>
    </w:p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p w:rsidR="001B0C22" w:rsidRDefault="001B0C22"/>
    <w:sectPr w:rsidR="001B0C22" w:rsidSect="00FB636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01B"/>
    <w:multiLevelType w:val="hybridMultilevel"/>
    <w:tmpl w:val="EEFCEDBA"/>
    <w:lvl w:ilvl="0" w:tplc="AB5A365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3B"/>
    <w:rsid w:val="00057172"/>
    <w:rsid w:val="001B0C22"/>
    <w:rsid w:val="00DB70EA"/>
    <w:rsid w:val="00DF663B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3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B6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B63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3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B6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B63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2021-06-09T10:51:00Z</cp:lastPrinted>
  <dcterms:created xsi:type="dcterms:W3CDTF">2021-06-09T07:53:00Z</dcterms:created>
  <dcterms:modified xsi:type="dcterms:W3CDTF">2021-06-09T10:54:00Z</dcterms:modified>
</cp:coreProperties>
</file>