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Pr="009F7D8B" w:rsidRDefault="0044762A" w:rsidP="0044762A">
      <w:pPr>
        <w:jc w:val="both"/>
      </w:pPr>
      <w:r>
        <w:t xml:space="preserve">         «</w:t>
      </w:r>
      <w:r w:rsidR="001C5648">
        <w:t>2</w:t>
      </w:r>
      <w:r w:rsidR="009F5185">
        <w:t>9</w:t>
      </w:r>
      <w:r>
        <w:t xml:space="preserve">» </w:t>
      </w:r>
      <w:r w:rsidR="00EA1D99" w:rsidRPr="009F7D8B">
        <w:t>августа</w:t>
      </w:r>
      <w:r w:rsidRPr="009F7D8B">
        <w:t xml:space="preserve"> 2017 г.                                                                                </w:t>
      </w:r>
      <w:r w:rsidR="00EA1D99" w:rsidRPr="009F7D8B">
        <w:t xml:space="preserve">    </w:t>
      </w:r>
      <w:r w:rsidRPr="009F7D8B">
        <w:t>№ 01873000058170002</w:t>
      </w:r>
      <w:r w:rsidR="001C5648" w:rsidRPr="009F7D8B">
        <w:t>90</w:t>
      </w:r>
      <w:r w:rsidRPr="009F7D8B">
        <w:t>-1</w:t>
      </w:r>
    </w:p>
    <w:p w:rsidR="009F5185" w:rsidRPr="009F7D8B" w:rsidRDefault="009F5185" w:rsidP="009F5185">
      <w:pPr>
        <w:tabs>
          <w:tab w:val="num" w:pos="567"/>
        </w:tabs>
        <w:autoSpaceDE w:val="0"/>
        <w:autoSpaceDN w:val="0"/>
        <w:adjustRightInd w:val="0"/>
        <w:ind w:left="426"/>
        <w:jc w:val="both"/>
      </w:pPr>
      <w:r w:rsidRPr="009F7D8B">
        <w:t xml:space="preserve">ПРИСУТСТВОВАЛИ: </w:t>
      </w:r>
    </w:p>
    <w:p w:rsidR="009F5185" w:rsidRPr="009F7D8B" w:rsidRDefault="009F5185" w:rsidP="009F5185">
      <w:pPr>
        <w:tabs>
          <w:tab w:val="num" w:pos="567"/>
        </w:tabs>
        <w:autoSpaceDE w:val="0"/>
        <w:autoSpaceDN w:val="0"/>
        <w:adjustRightInd w:val="0"/>
        <w:ind w:left="426"/>
        <w:jc w:val="both"/>
      </w:pPr>
      <w:r w:rsidRPr="009F7D8B">
        <w:t xml:space="preserve">Единая комиссия по осуществлению закупок для обеспечения муниципальных нужд города </w:t>
      </w:r>
      <w:proofErr w:type="spellStart"/>
      <w:r w:rsidRPr="009F7D8B">
        <w:t>Югорска</w:t>
      </w:r>
      <w:proofErr w:type="spellEnd"/>
      <w:r w:rsidRPr="009F7D8B">
        <w:t xml:space="preserve"> (далее - комиссия) в следующем  составе:</w:t>
      </w:r>
    </w:p>
    <w:p w:rsidR="009F5185" w:rsidRPr="009F7D8B" w:rsidRDefault="009F5185" w:rsidP="009F5185">
      <w:pPr>
        <w:tabs>
          <w:tab w:val="num" w:pos="567"/>
        </w:tabs>
        <w:autoSpaceDE w:val="0"/>
        <w:autoSpaceDN w:val="0"/>
        <w:adjustRightInd w:val="0"/>
        <w:ind w:left="426"/>
        <w:jc w:val="both"/>
      </w:pPr>
      <w:r w:rsidRPr="009F7D8B">
        <w:t xml:space="preserve">1. С.Д. </w:t>
      </w:r>
      <w:proofErr w:type="spellStart"/>
      <w:r w:rsidRPr="009F7D8B">
        <w:t>Голин</w:t>
      </w:r>
      <w:proofErr w:type="spellEnd"/>
      <w:r w:rsidRPr="009F7D8B">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F7D8B">
        <w:t>Югорска</w:t>
      </w:r>
      <w:proofErr w:type="spellEnd"/>
      <w:r w:rsidRPr="009F7D8B">
        <w:t>;</w:t>
      </w:r>
    </w:p>
    <w:p w:rsidR="009F5185" w:rsidRPr="009F7D8B" w:rsidRDefault="009F5185" w:rsidP="009F5185">
      <w:pPr>
        <w:tabs>
          <w:tab w:val="num" w:pos="567"/>
        </w:tabs>
        <w:autoSpaceDE w:val="0"/>
        <w:autoSpaceDN w:val="0"/>
        <w:adjustRightInd w:val="0"/>
        <w:ind w:left="426"/>
        <w:jc w:val="both"/>
      </w:pPr>
      <w:r w:rsidRPr="009F7D8B">
        <w:t xml:space="preserve">2.  В.К. </w:t>
      </w:r>
      <w:proofErr w:type="spellStart"/>
      <w:r w:rsidRPr="009F7D8B">
        <w:t>Бандурин</w:t>
      </w:r>
      <w:proofErr w:type="spellEnd"/>
      <w:r w:rsidRPr="009F7D8B">
        <w:t xml:space="preserve">  - заместитель председателя комиссии, заместитель главы города - директор  департамента </w:t>
      </w:r>
      <w:proofErr w:type="spellStart"/>
      <w:r w:rsidRPr="009F7D8B">
        <w:t>жилищно</w:t>
      </w:r>
      <w:proofErr w:type="spellEnd"/>
      <w:r w:rsidRPr="009F7D8B">
        <w:t xml:space="preserve"> - коммунального и строительного комплекса администрации города </w:t>
      </w:r>
      <w:proofErr w:type="spellStart"/>
      <w:r w:rsidRPr="009F7D8B">
        <w:t>Югорска</w:t>
      </w:r>
      <w:proofErr w:type="spellEnd"/>
      <w:r w:rsidRPr="009F7D8B">
        <w:t>;</w:t>
      </w:r>
    </w:p>
    <w:p w:rsidR="009F5185" w:rsidRPr="009F7D8B" w:rsidRDefault="009F5185" w:rsidP="009F5185">
      <w:pPr>
        <w:tabs>
          <w:tab w:val="num" w:pos="567"/>
        </w:tabs>
        <w:autoSpaceDE w:val="0"/>
        <w:autoSpaceDN w:val="0"/>
        <w:adjustRightInd w:val="0"/>
        <w:ind w:left="426"/>
        <w:jc w:val="both"/>
      </w:pPr>
      <w:r w:rsidRPr="009F7D8B">
        <w:t xml:space="preserve">3.Т.И. </w:t>
      </w:r>
      <w:proofErr w:type="spellStart"/>
      <w:r w:rsidRPr="009F7D8B">
        <w:t>Долгодворова</w:t>
      </w:r>
      <w:proofErr w:type="spellEnd"/>
      <w:r w:rsidRPr="009F7D8B">
        <w:t xml:space="preserve"> – заместитель главы города </w:t>
      </w:r>
      <w:proofErr w:type="spellStart"/>
      <w:r w:rsidRPr="009F7D8B">
        <w:t>Югорска</w:t>
      </w:r>
      <w:proofErr w:type="spellEnd"/>
      <w:r w:rsidRPr="009F7D8B">
        <w:t>;</w:t>
      </w:r>
    </w:p>
    <w:p w:rsidR="009F5185" w:rsidRPr="009F7D8B" w:rsidRDefault="009F5185" w:rsidP="009F5185">
      <w:pPr>
        <w:tabs>
          <w:tab w:val="num" w:pos="567"/>
        </w:tabs>
        <w:autoSpaceDE w:val="0"/>
        <w:autoSpaceDN w:val="0"/>
        <w:adjustRightInd w:val="0"/>
        <w:ind w:left="426"/>
        <w:jc w:val="both"/>
      </w:pPr>
      <w:r w:rsidRPr="009F7D8B">
        <w:t>4.  Н.А. Морозова – советник руководителя;</w:t>
      </w:r>
    </w:p>
    <w:p w:rsidR="009F5185" w:rsidRPr="009F7D8B" w:rsidRDefault="009F5185" w:rsidP="009F5185">
      <w:pPr>
        <w:tabs>
          <w:tab w:val="num" w:pos="567"/>
        </w:tabs>
        <w:autoSpaceDE w:val="0"/>
        <w:autoSpaceDN w:val="0"/>
        <w:adjustRightInd w:val="0"/>
        <w:ind w:left="426"/>
        <w:jc w:val="both"/>
      </w:pPr>
      <w:r w:rsidRPr="009F7D8B">
        <w:t xml:space="preserve">5. Ж.В. </w:t>
      </w:r>
      <w:proofErr w:type="spellStart"/>
      <w:r w:rsidRPr="009F7D8B">
        <w:t>Резинкина</w:t>
      </w:r>
      <w:proofErr w:type="spellEnd"/>
      <w:r w:rsidRPr="009F7D8B">
        <w:t xml:space="preserve"> – заместитель директора департамента экономического развития и проектного управления администрации города </w:t>
      </w:r>
      <w:proofErr w:type="spellStart"/>
      <w:r w:rsidRPr="009F7D8B">
        <w:t>Югорска</w:t>
      </w:r>
      <w:proofErr w:type="spellEnd"/>
      <w:r w:rsidRPr="009F7D8B">
        <w:t>;</w:t>
      </w:r>
    </w:p>
    <w:p w:rsidR="009F5185" w:rsidRPr="009F7D8B" w:rsidRDefault="009F5185" w:rsidP="009F5185">
      <w:pPr>
        <w:tabs>
          <w:tab w:val="num" w:pos="567"/>
        </w:tabs>
        <w:autoSpaceDE w:val="0"/>
        <w:autoSpaceDN w:val="0"/>
        <w:adjustRightInd w:val="0"/>
        <w:ind w:left="426"/>
        <w:jc w:val="both"/>
      </w:pPr>
      <w:r w:rsidRPr="009F7D8B">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7D8B">
        <w:t>Югорска</w:t>
      </w:r>
      <w:proofErr w:type="spellEnd"/>
      <w:r w:rsidRPr="009F7D8B">
        <w:t>.</w:t>
      </w:r>
    </w:p>
    <w:p w:rsidR="009F5185" w:rsidRPr="009F7D8B" w:rsidRDefault="009F5185" w:rsidP="009F5185">
      <w:pPr>
        <w:tabs>
          <w:tab w:val="num" w:pos="567"/>
        </w:tabs>
        <w:autoSpaceDE w:val="0"/>
        <w:autoSpaceDN w:val="0"/>
        <w:adjustRightInd w:val="0"/>
        <w:ind w:left="426"/>
        <w:jc w:val="both"/>
      </w:pPr>
      <w:r w:rsidRPr="009F7D8B">
        <w:t>Всего присутствовали 6 членов комиссии из 8.</w:t>
      </w:r>
    </w:p>
    <w:p w:rsidR="009F7D8B" w:rsidRPr="0006354E" w:rsidRDefault="009F7D8B" w:rsidP="009F7D8B">
      <w:pPr>
        <w:tabs>
          <w:tab w:val="num" w:pos="426"/>
          <w:tab w:val="num" w:pos="927"/>
        </w:tabs>
        <w:autoSpaceDE w:val="0"/>
        <w:autoSpaceDN w:val="0"/>
        <w:adjustRightInd w:val="0"/>
        <w:ind w:left="426"/>
        <w:jc w:val="both"/>
      </w:pPr>
      <w:r w:rsidRPr="0006354E">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06354E">
        <w:t>Югорска</w:t>
      </w:r>
      <w:proofErr w:type="spellEnd"/>
      <w:r w:rsidRPr="0006354E">
        <w:t xml:space="preserve">. </w:t>
      </w:r>
    </w:p>
    <w:p w:rsidR="0044762A" w:rsidRPr="001C5648" w:rsidRDefault="0044762A" w:rsidP="001C5648">
      <w:pPr>
        <w:tabs>
          <w:tab w:val="num" w:pos="567"/>
        </w:tabs>
        <w:suppressAutoHyphens w:val="0"/>
        <w:autoSpaceDE w:val="0"/>
        <w:autoSpaceDN w:val="0"/>
        <w:adjustRightInd w:val="0"/>
        <w:ind w:left="426"/>
        <w:jc w:val="both"/>
        <w:rPr>
          <w:b/>
          <w:bCs/>
        </w:rPr>
      </w:pPr>
      <w:r w:rsidRPr="001C5648">
        <w:t>1. Наименование аукциона: аукцион в электронной форме № 01873000058170002</w:t>
      </w:r>
      <w:r w:rsidR="001C5648" w:rsidRPr="001C5648">
        <w:t>90</w:t>
      </w:r>
      <w:r w:rsidR="001C5648" w:rsidRPr="001C5648">
        <w:rPr>
          <w:rFonts w:cs="Arial"/>
        </w:rPr>
        <w:t xml:space="preserve"> среди субъектов малого предпринимательства и социально ориентированных некоммерческих организаций</w:t>
      </w:r>
      <w:r w:rsidR="001C5648" w:rsidRPr="001C5648">
        <w:t xml:space="preserve"> на право заключения муниципального контракта на поставку трибун на объект: «Физкультурно-спортивный комплекс с универсальным игровым залом в городе </w:t>
      </w:r>
      <w:proofErr w:type="spellStart"/>
      <w:r w:rsidR="001C5648" w:rsidRPr="001C5648">
        <w:t>Югорске</w:t>
      </w:r>
      <w:proofErr w:type="spellEnd"/>
      <w:r w:rsidR="001C5648" w:rsidRPr="001C5648">
        <w:t>».</w:t>
      </w:r>
      <w:r w:rsidR="00EF2D47" w:rsidRPr="001C5648">
        <w:t xml:space="preserve"> </w:t>
      </w:r>
    </w:p>
    <w:p w:rsidR="0044762A" w:rsidRPr="001C5648" w:rsidRDefault="0044762A" w:rsidP="00CB7D5B">
      <w:pPr>
        <w:tabs>
          <w:tab w:val="num" w:pos="567"/>
        </w:tabs>
        <w:suppressAutoHyphens w:val="0"/>
        <w:autoSpaceDE w:val="0"/>
        <w:autoSpaceDN w:val="0"/>
        <w:adjustRightInd w:val="0"/>
        <w:ind w:left="426"/>
        <w:jc w:val="both"/>
      </w:pPr>
      <w:r w:rsidRPr="001C5648">
        <w:t xml:space="preserve">1.1 Номер извещения о проведении торгов на официальном сайте – </w:t>
      </w:r>
      <w:hyperlink r:id="rId9" w:history="1">
        <w:r w:rsidRPr="001C5648">
          <w:t>http://zakupki.gov.ru/</w:t>
        </w:r>
      </w:hyperlink>
      <w:r w:rsidRPr="001C5648">
        <w:t>, код аукциона 01873000058170002</w:t>
      </w:r>
      <w:r w:rsidR="001C5648" w:rsidRPr="001C5648">
        <w:t>90</w:t>
      </w:r>
      <w:r w:rsidRPr="001C5648">
        <w:t xml:space="preserve">, дата публикации </w:t>
      </w:r>
      <w:r w:rsidR="001C5648" w:rsidRPr="001C5648">
        <w:t>2</w:t>
      </w:r>
      <w:r w:rsidR="00EF2D47" w:rsidRPr="001C5648">
        <w:t>8</w:t>
      </w:r>
      <w:r w:rsidR="00CB7D5B" w:rsidRPr="001C5648">
        <w:t>.07</w:t>
      </w:r>
      <w:r w:rsidRPr="001C5648">
        <w:t xml:space="preserve">.2017. </w:t>
      </w:r>
    </w:p>
    <w:p w:rsidR="00975D1B" w:rsidRPr="001C5648" w:rsidRDefault="00626F21" w:rsidP="00626F21">
      <w:pPr>
        <w:tabs>
          <w:tab w:val="num" w:pos="567"/>
        </w:tabs>
        <w:autoSpaceDE w:val="0"/>
        <w:autoSpaceDN w:val="0"/>
        <w:adjustRightInd w:val="0"/>
        <w:jc w:val="both"/>
      </w:pPr>
      <w:r w:rsidRPr="001C5648">
        <w:t xml:space="preserve">       </w:t>
      </w:r>
      <w:r w:rsidR="0044762A" w:rsidRPr="001C5648">
        <w:t xml:space="preserve">Идентификационный код закупки: </w:t>
      </w:r>
      <w:r w:rsidR="001C5648" w:rsidRPr="001C5648">
        <w:t>173862201231086220100101260013101414</w:t>
      </w:r>
      <w:r w:rsidR="00A64893" w:rsidRPr="001C5648">
        <w:t>.</w:t>
      </w:r>
    </w:p>
    <w:p w:rsidR="00CB7D5B" w:rsidRPr="001C5648" w:rsidRDefault="0044762A" w:rsidP="001C5648">
      <w:pPr>
        <w:suppressAutoHyphens w:val="0"/>
        <w:autoSpaceDE w:val="0"/>
        <w:autoSpaceDN w:val="0"/>
        <w:adjustRightInd w:val="0"/>
        <w:ind w:left="426"/>
        <w:jc w:val="both"/>
      </w:pPr>
      <w:r w:rsidRPr="001C5648">
        <w:t xml:space="preserve">2. </w:t>
      </w:r>
      <w:r w:rsidR="001C5648" w:rsidRPr="001C5648">
        <w:t xml:space="preserve">Заказчик: </w:t>
      </w:r>
      <w:proofErr w:type="gramStart"/>
      <w:r w:rsidR="001C5648" w:rsidRPr="001C5648">
        <w:t xml:space="preserve">Департамент жилищно-коммунального и строительного комплекса администрации города </w:t>
      </w:r>
      <w:proofErr w:type="spellStart"/>
      <w:r w:rsidR="001C5648" w:rsidRPr="001C5648">
        <w:t>Югорска</w:t>
      </w:r>
      <w:proofErr w:type="spellEnd"/>
      <w:r w:rsidR="001C5648" w:rsidRPr="001C5648">
        <w:t>.</w:t>
      </w:r>
      <w:r w:rsidR="00EF2D47" w:rsidRPr="001C5648">
        <w:t xml:space="preserve">. Почтовый адрес: 628260, Ханты - Мансийский автономный округ - Югра, Тюменская обл.,  г. </w:t>
      </w:r>
      <w:proofErr w:type="spellStart"/>
      <w:r w:rsidR="00EF2D47" w:rsidRPr="001C5648">
        <w:t>Югорск</w:t>
      </w:r>
      <w:proofErr w:type="spellEnd"/>
      <w:r w:rsidR="00EF2D47" w:rsidRPr="001C5648">
        <w:t xml:space="preserve">, ул. </w:t>
      </w:r>
      <w:r w:rsidR="00015FAF">
        <w:t>Механизаторов</w:t>
      </w:r>
      <w:r w:rsidR="009F7D8B">
        <w:t>,</w:t>
      </w:r>
      <w:r w:rsidR="00015FAF">
        <w:t xml:space="preserve"> </w:t>
      </w:r>
      <w:r w:rsidR="009F7D8B">
        <w:t>д.22</w:t>
      </w:r>
      <w:proofErr w:type="gramEnd"/>
    </w:p>
    <w:p w:rsidR="0044762A" w:rsidRPr="00BB6B02" w:rsidRDefault="0044762A" w:rsidP="00CB7D5B">
      <w:pPr>
        <w:tabs>
          <w:tab w:val="num" w:pos="567"/>
        </w:tabs>
        <w:suppressAutoHyphens w:val="0"/>
        <w:autoSpaceDE w:val="0"/>
        <w:autoSpaceDN w:val="0"/>
        <w:adjustRightInd w:val="0"/>
        <w:ind w:left="426"/>
        <w:jc w:val="both"/>
      </w:pPr>
      <w:r w:rsidRPr="001C5648">
        <w:t>3. Процедура рассмотрения первых частей заявок на участие в аукционе была проведена комиссией в 10.00 часов</w:t>
      </w:r>
      <w:r w:rsidR="00CB7D5B" w:rsidRPr="001C5648">
        <w:t xml:space="preserve"> </w:t>
      </w:r>
      <w:r w:rsidR="001C5648" w:rsidRPr="001C5648">
        <w:t>2</w:t>
      </w:r>
      <w:r w:rsidR="009F5185">
        <w:t>9</w:t>
      </w:r>
      <w:r w:rsidR="00CB7D5B" w:rsidRPr="001C5648">
        <w:t xml:space="preserve"> </w:t>
      </w:r>
      <w:r w:rsidRPr="001C5648">
        <w:t xml:space="preserve"> </w:t>
      </w:r>
      <w:r w:rsidR="00F504D2" w:rsidRPr="001C5648">
        <w:t xml:space="preserve">августа </w:t>
      </w:r>
      <w:r w:rsidRPr="001C5648">
        <w:t xml:space="preserve">2017 года, по адресу: ул. 40 лет Победы, 11, г. </w:t>
      </w:r>
      <w:proofErr w:type="spellStart"/>
      <w:r w:rsidRPr="001C5648">
        <w:t>Югорск</w:t>
      </w:r>
      <w:proofErr w:type="spellEnd"/>
      <w:r w:rsidRPr="001C5648">
        <w:t>, Ханты-Мансийский  автономный округ-Югра</w:t>
      </w:r>
      <w:r w:rsidRPr="00BB6B02">
        <w:t>.</w:t>
      </w:r>
      <w:bookmarkStart w:id="0" w:name="_GoBack"/>
      <w:bookmarkEnd w:id="0"/>
    </w:p>
    <w:p w:rsidR="0044762A" w:rsidRPr="00BB6B02" w:rsidRDefault="0044762A" w:rsidP="00CB7D5B">
      <w:pPr>
        <w:ind w:left="426"/>
        <w:jc w:val="both"/>
      </w:pPr>
      <w:r w:rsidRPr="009F7D8B">
        <w:t xml:space="preserve">4. Количество поступивших заявок на участие  в аукционе – </w:t>
      </w:r>
      <w:r w:rsidR="00C0103D" w:rsidRPr="009F7D8B">
        <w:t>8</w:t>
      </w:r>
      <w:r w:rsidRPr="009F7D8B">
        <w:t>.</w:t>
      </w:r>
      <w:r w:rsidR="00C0103D" w:rsidRPr="009F7D8B">
        <w:t xml:space="preserve"> Отозвана</w:t>
      </w:r>
      <w:r w:rsidR="00C0103D">
        <w:t xml:space="preserve"> заявка № 3.</w:t>
      </w:r>
    </w:p>
    <w:p w:rsidR="0044762A" w:rsidRPr="00BB6B02" w:rsidRDefault="0044762A" w:rsidP="00CB7D5B">
      <w:pPr>
        <w:ind w:left="426"/>
        <w:jc w:val="both"/>
      </w:pPr>
      <w:r w:rsidRPr="00BB6B02">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829"/>
        <w:gridCol w:w="4679"/>
      </w:tblGrid>
      <w:tr w:rsidR="00AD070B" w:rsidRPr="00AD070B"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Причина отказа в допуске</w:t>
            </w:r>
          </w:p>
        </w:tc>
      </w:tr>
      <w:tr w:rsidR="00AD070B" w:rsidRPr="00AD070B"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0103D" w:rsidRDefault="0044762A">
            <w:pPr>
              <w:spacing w:line="276" w:lineRule="auto"/>
              <w:jc w:val="center"/>
              <w:rPr>
                <w:spacing w:val="-6"/>
                <w:sz w:val="18"/>
                <w:szCs w:val="18"/>
                <w:lang w:eastAsia="en-US"/>
              </w:rPr>
            </w:pPr>
            <w:r w:rsidRPr="00C0103D">
              <w:rPr>
                <w:lang w:eastAsia="en-US"/>
              </w:rPr>
              <w:t>1</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0103D" w:rsidRDefault="0044762A">
            <w:pPr>
              <w:widowControl w:val="0"/>
              <w:spacing w:line="276" w:lineRule="auto"/>
              <w:jc w:val="center"/>
              <w:rPr>
                <w:spacing w:val="-6"/>
                <w:sz w:val="18"/>
                <w:szCs w:val="18"/>
                <w:lang w:eastAsia="en-US"/>
              </w:rPr>
            </w:pPr>
            <w:r w:rsidRPr="00C0103D">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AD070B"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0103D" w:rsidRDefault="0044762A">
            <w:pPr>
              <w:spacing w:line="276" w:lineRule="auto"/>
              <w:jc w:val="center"/>
              <w:rPr>
                <w:lang w:eastAsia="en-US"/>
              </w:rPr>
            </w:pPr>
            <w:r w:rsidRPr="00C0103D">
              <w:rPr>
                <w:lang w:eastAsia="en-US"/>
              </w:rPr>
              <w:t>2</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C0103D" w:rsidRDefault="0044762A">
            <w:pPr>
              <w:spacing w:line="276" w:lineRule="auto"/>
              <w:jc w:val="center"/>
              <w:rPr>
                <w:spacing w:val="-6"/>
                <w:sz w:val="18"/>
                <w:szCs w:val="18"/>
              </w:rPr>
            </w:pPr>
            <w:r w:rsidRPr="00C0103D">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r w:rsidR="00C0103D" w:rsidRPr="00AD070B" w:rsidTr="009F59DF">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103D" w:rsidRPr="00C0103D" w:rsidRDefault="00C0103D">
            <w:pPr>
              <w:spacing w:line="276" w:lineRule="auto"/>
              <w:jc w:val="center"/>
              <w:rPr>
                <w:lang w:eastAsia="en-US"/>
              </w:rPr>
            </w:pPr>
            <w:r w:rsidRPr="00C0103D">
              <w:rPr>
                <w:lang w:eastAsia="en-US"/>
              </w:rPr>
              <w:t>4</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03D" w:rsidRDefault="00C0103D" w:rsidP="00C0103D">
            <w:pPr>
              <w:jc w:val="center"/>
            </w:pPr>
            <w:r w:rsidRPr="00852284">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03D" w:rsidRPr="00AD070B" w:rsidRDefault="00C0103D">
            <w:pPr>
              <w:spacing w:line="276" w:lineRule="auto"/>
              <w:jc w:val="both"/>
              <w:rPr>
                <w:noProof/>
                <w:sz w:val="18"/>
                <w:szCs w:val="18"/>
              </w:rPr>
            </w:pPr>
          </w:p>
        </w:tc>
      </w:tr>
      <w:tr w:rsidR="00C0103D" w:rsidRPr="00AD070B" w:rsidTr="009F59DF">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103D" w:rsidRPr="00C0103D" w:rsidRDefault="00C0103D">
            <w:pPr>
              <w:spacing w:line="276" w:lineRule="auto"/>
              <w:jc w:val="center"/>
              <w:rPr>
                <w:lang w:eastAsia="en-US"/>
              </w:rPr>
            </w:pPr>
            <w:r w:rsidRPr="00C0103D">
              <w:rPr>
                <w:lang w:eastAsia="en-US"/>
              </w:rPr>
              <w:t>5</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03D" w:rsidRDefault="00C0103D" w:rsidP="00C0103D">
            <w:pPr>
              <w:jc w:val="center"/>
            </w:pPr>
            <w:r w:rsidRPr="00852284">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03D" w:rsidRPr="00AD070B" w:rsidRDefault="00C0103D">
            <w:pPr>
              <w:spacing w:line="276" w:lineRule="auto"/>
              <w:jc w:val="both"/>
              <w:rPr>
                <w:noProof/>
                <w:sz w:val="18"/>
                <w:szCs w:val="18"/>
              </w:rPr>
            </w:pPr>
          </w:p>
        </w:tc>
      </w:tr>
      <w:tr w:rsidR="00C0103D" w:rsidRPr="00AD070B" w:rsidTr="009F59DF">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103D" w:rsidRPr="00C0103D" w:rsidRDefault="00C0103D">
            <w:pPr>
              <w:spacing w:line="276" w:lineRule="auto"/>
              <w:jc w:val="center"/>
              <w:rPr>
                <w:lang w:eastAsia="en-US"/>
              </w:rPr>
            </w:pPr>
            <w:r w:rsidRPr="00C0103D">
              <w:rPr>
                <w:lang w:eastAsia="en-US"/>
              </w:rPr>
              <w:t>6</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03D" w:rsidRDefault="00C0103D" w:rsidP="00C0103D">
            <w:pPr>
              <w:jc w:val="center"/>
            </w:pPr>
            <w:r w:rsidRPr="00852284">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03D" w:rsidRPr="00AD070B" w:rsidRDefault="00C0103D">
            <w:pPr>
              <w:spacing w:line="276" w:lineRule="auto"/>
              <w:jc w:val="both"/>
              <w:rPr>
                <w:noProof/>
                <w:sz w:val="18"/>
                <w:szCs w:val="18"/>
              </w:rPr>
            </w:pPr>
          </w:p>
        </w:tc>
      </w:tr>
      <w:tr w:rsidR="00C0103D" w:rsidRPr="00AD070B" w:rsidTr="009F59DF">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103D" w:rsidRPr="00C0103D" w:rsidRDefault="00C0103D">
            <w:pPr>
              <w:spacing w:line="276" w:lineRule="auto"/>
              <w:jc w:val="center"/>
              <w:rPr>
                <w:lang w:eastAsia="en-US"/>
              </w:rPr>
            </w:pPr>
            <w:r w:rsidRPr="00C0103D">
              <w:rPr>
                <w:lang w:eastAsia="en-US"/>
              </w:rPr>
              <w:t>7</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03D" w:rsidRDefault="00C0103D" w:rsidP="00C0103D">
            <w:pPr>
              <w:jc w:val="center"/>
            </w:pPr>
            <w:r w:rsidRPr="00852284">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03D" w:rsidRPr="00AD070B" w:rsidRDefault="00C0103D">
            <w:pPr>
              <w:spacing w:line="276" w:lineRule="auto"/>
              <w:jc w:val="both"/>
              <w:rPr>
                <w:noProof/>
                <w:sz w:val="18"/>
                <w:szCs w:val="18"/>
              </w:rPr>
            </w:pPr>
          </w:p>
        </w:tc>
      </w:tr>
      <w:tr w:rsidR="00C0103D" w:rsidRPr="00AD070B" w:rsidTr="009F59DF">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103D" w:rsidRPr="00C0103D" w:rsidRDefault="00C0103D">
            <w:pPr>
              <w:spacing w:line="276" w:lineRule="auto"/>
              <w:jc w:val="center"/>
              <w:rPr>
                <w:lang w:eastAsia="en-US"/>
              </w:rPr>
            </w:pPr>
            <w:r w:rsidRPr="00C0103D">
              <w:rPr>
                <w:lang w:eastAsia="en-US"/>
              </w:rPr>
              <w:t>8</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03D" w:rsidRDefault="00C0103D" w:rsidP="00C0103D">
            <w:pPr>
              <w:jc w:val="center"/>
            </w:pPr>
            <w:r w:rsidRPr="00852284">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103D" w:rsidRPr="00AD070B" w:rsidRDefault="00C0103D">
            <w:pPr>
              <w:spacing w:line="276" w:lineRule="auto"/>
              <w:jc w:val="both"/>
              <w:rPr>
                <w:noProof/>
                <w:sz w:val="18"/>
                <w:szCs w:val="18"/>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9F7D8B"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9F7D8B" w:rsidRDefault="00CC41C5">
            <w:pPr>
              <w:widowControl w:val="0"/>
              <w:spacing w:line="276" w:lineRule="auto"/>
              <w:jc w:val="both"/>
              <w:rPr>
                <w:noProof/>
                <w:sz w:val="16"/>
                <w:szCs w:val="16"/>
              </w:rPr>
            </w:pPr>
            <w:r w:rsidRPr="009F7D8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9F7D8B"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9F7D8B" w:rsidRDefault="00CC41C5" w:rsidP="00C15B3B">
            <w:pPr>
              <w:spacing w:after="60"/>
              <w:jc w:val="center"/>
              <w:rPr>
                <w:noProof/>
              </w:rPr>
            </w:pPr>
            <w:r w:rsidRPr="009F7D8B">
              <w:rPr>
                <w:noProof/>
              </w:rPr>
              <w:t>С.Д. Голин</w:t>
            </w:r>
          </w:p>
        </w:tc>
      </w:tr>
      <w:tr w:rsidR="00CC41C5" w:rsidRPr="009F7D8B" w:rsidTr="00CB7D5B">
        <w:tc>
          <w:tcPr>
            <w:tcW w:w="5532" w:type="dxa"/>
            <w:tcBorders>
              <w:top w:val="single" w:sz="4" w:space="0" w:color="auto"/>
              <w:left w:val="single" w:sz="4" w:space="0" w:color="auto"/>
              <w:bottom w:val="single" w:sz="4" w:space="0" w:color="auto"/>
              <w:right w:val="single" w:sz="4" w:space="0" w:color="auto"/>
            </w:tcBorders>
          </w:tcPr>
          <w:p w:rsidR="00CC41C5" w:rsidRPr="009F7D8B" w:rsidRDefault="00CC41C5" w:rsidP="00C15B3B">
            <w:pPr>
              <w:widowControl w:val="0"/>
              <w:spacing w:line="276" w:lineRule="auto"/>
              <w:jc w:val="both"/>
              <w:rPr>
                <w:noProof/>
                <w:sz w:val="16"/>
                <w:szCs w:val="16"/>
              </w:rPr>
            </w:pPr>
            <w:r w:rsidRPr="009F7D8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9F7D8B"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9F7D8B" w:rsidRDefault="00CC41C5" w:rsidP="00C15B3B">
            <w:pPr>
              <w:spacing w:line="276" w:lineRule="auto"/>
              <w:jc w:val="center"/>
              <w:rPr>
                <w:rFonts w:eastAsia="Calibri"/>
              </w:rPr>
            </w:pPr>
            <w:r w:rsidRPr="009F7D8B">
              <w:t>В.К.</w:t>
            </w:r>
            <w:r w:rsidR="00927CEF" w:rsidRPr="009F7D8B">
              <w:t xml:space="preserve"> </w:t>
            </w:r>
            <w:proofErr w:type="spellStart"/>
            <w:r w:rsidRPr="009F7D8B">
              <w:t>Бандурин</w:t>
            </w:r>
            <w:proofErr w:type="spellEnd"/>
          </w:p>
        </w:tc>
      </w:tr>
      <w:tr w:rsidR="009F5185" w:rsidRPr="009F7D8B" w:rsidTr="00CB7D5B">
        <w:tc>
          <w:tcPr>
            <w:tcW w:w="5532" w:type="dxa"/>
            <w:tcBorders>
              <w:top w:val="single" w:sz="4" w:space="0" w:color="auto"/>
              <w:left w:val="single" w:sz="4" w:space="0" w:color="auto"/>
              <w:bottom w:val="single" w:sz="4" w:space="0" w:color="auto"/>
              <w:right w:val="single" w:sz="4" w:space="0" w:color="auto"/>
            </w:tcBorders>
          </w:tcPr>
          <w:p w:rsidR="009F5185" w:rsidRPr="009F7D8B" w:rsidRDefault="009F5185" w:rsidP="00C15B3B">
            <w:pPr>
              <w:widowControl w:val="0"/>
              <w:spacing w:line="276" w:lineRule="auto"/>
              <w:jc w:val="both"/>
              <w:rPr>
                <w:noProof/>
                <w:sz w:val="16"/>
                <w:szCs w:val="16"/>
              </w:rPr>
            </w:pPr>
            <w:r w:rsidRPr="009F7D8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9F5185" w:rsidRPr="009F7D8B" w:rsidRDefault="009F518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9F5185" w:rsidRPr="009F7D8B" w:rsidRDefault="009F5185" w:rsidP="00C15B3B">
            <w:pPr>
              <w:spacing w:line="276" w:lineRule="auto"/>
              <w:jc w:val="center"/>
            </w:pPr>
            <w:r w:rsidRPr="009F7D8B">
              <w:t xml:space="preserve">Т.И. </w:t>
            </w:r>
            <w:proofErr w:type="spellStart"/>
            <w:r w:rsidRPr="009F7D8B">
              <w:t>Долгодворова</w:t>
            </w:r>
            <w:proofErr w:type="spellEnd"/>
          </w:p>
        </w:tc>
      </w:tr>
      <w:tr w:rsidR="00CC41C5" w:rsidRPr="009F7D8B"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9F7D8B" w:rsidRDefault="00CC41C5">
            <w:pPr>
              <w:widowControl w:val="0"/>
              <w:spacing w:line="276" w:lineRule="auto"/>
              <w:jc w:val="both"/>
              <w:rPr>
                <w:noProof/>
                <w:sz w:val="16"/>
                <w:szCs w:val="16"/>
              </w:rPr>
            </w:pPr>
            <w:r w:rsidRPr="009F7D8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9F7D8B"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9F7D8B" w:rsidRDefault="00CC41C5" w:rsidP="00C15B3B">
            <w:pPr>
              <w:spacing w:line="276" w:lineRule="auto"/>
              <w:jc w:val="center"/>
              <w:rPr>
                <w:rFonts w:eastAsia="Calibri"/>
              </w:rPr>
            </w:pPr>
            <w:r w:rsidRPr="009F7D8B">
              <w:t>Н.А.</w:t>
            </w:r>
            <w:r w:rsidR="00EF2D47" w:rsidRPr="009F7D8B">
              <w:t xml:space="preserve"> </w:t>
            </w:r>
            <w:r w:rsidRPr="009F7D8B">
              <w:t>Морозова</w:t>
            </w:r>
          </w:p>
        </w:tc>
      </w:tr>
      <w:tr w:rsidR="0001396C" w:rsidRPr="009F7D8B" w:rsidTr="00CB7D5B">
        <w:tc>
          <w:tcPr>
            <w:tcW w:w="5532" w:type="dxa"/>
            <w:tcBorders>
              <w:top w:val="single" w:sz="4" w:space="0" w:color="auto"/>
              <w:left w:val="single" w:sz="4" w:space="0" w:color="auto"/>
              <w:bottom w:val="single" w:sz="4" w:space="0" w:color="auto"/>
              <w:right w:val="single" w:sz="4" w:space="0" w:color="auto"/>
            </w:tcBorders>
          </w:tcPr>
          <w:p w:rsidR="0001396C" w:rsidRPr="009F7D8B" w:rsidRDefault="0001396C">
            <w:pPr>
              <w:widowControl w:val="0"/>
              <w:spacing w:line="276" w:lineRule="auto"/>
              <w:jc w:val="both"/>
              <w:rPr>
                <w:noProof/>
                <w:sz w:val="16"/>
                <w:szCs w:val="16"/>
              </w:rPr>
            </w:pPr>
            <w:r w:rsidRPr="009F7D8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1396C" w:rsidRPr="009F7D8B" w:rsidRDefault="0001396C">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01396C" w:rsidRPr="009F7D8B" w:rsidRDefault="0001396C" w:rsidP="00C15B3B">
            <w:pPr>
              <w:spacing w:line="276" w:lineRule="auto"/>
              <w:jc w:val="center"/>
            </w:pPr>
            <w:r w:rsidRPr="009F7D8B">
              <w:t xml:space="preserve">Ж.В. </w:t>
            </w:r>
            <w:proofErr w:type="spellStart"/>
            <w:r w:rsidRPr="009F7D8B">
              <w:t>Резинкина</w:t>
            </w:r>
            <w:proofErr w:type="spellEnd"/>
          </w:p>
        </w:tc>
      </w:tr>
      <w:tr w:rsidR="00CC41C5" w:rsidRPr="009F7D8B" w:rsidTr="00CB7D5B">
        <w:tc>
          <w:tcPr>
            <w:tcW w:w="5532" w:type="dxa"/>
            <w:tcBorders>
              <w:top w:val="single" w:sz="4" w:space="0" w:color="auto"/>
              <w:left w:val="single" w:sz="4" w:space="0" w:color="auto"/>
              <w:bottom w:val="single" w:sz="4" w:space="0" w:color="auto"/>
              <w:right w:val="single" w:sz="4" w:space="0" w:color="auto"/>
            </w:tcBorders>
            <w:hideMark/>
          </w:tcPr>
          <w:p w:rsidR="00CC41C5" w:rsidRPr="009F7D8B" w:rsidRDefault="00CC41C5">
            <w:pPr>
              <w:widowControl w:val="0"/>
              <w:spacing w:line="276" w:lineRule="auto"/>
              <w:jc w:val="both"/>
              <w:rPr>
                <w:noProof/>
                <w:sz w:val="16"/>
                <w:szCs w:val="16"/>
              </w:rPr>
            </w:pPr>
            <w:r w:rsidRPr="009F7D8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9F7D8B"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9F7D8B" w:rsidRDefault="00BE7AE9" w:rsidP="00C15B3B">
            <w:pPr>
              <w:spacing w:line="276" w:lineRule="auto"/>
              <w:jc w:val="center"/>
            </w:pPr>
            <w:r w:rsidRPr="009F7D8B">
              <w:t>Н.Б. Захарова</w:t>
            </w:r>
          </w:p>
        </w:tc>
      </w:tr>
    </w:tbl>
    <w:p w:rsidR="0044762A" w:rsidRPr="009F7D8B" w:rsidRDefault="0044762A" w:rsidP="0044762A">
      <w:pPr>
        <w:jc w:val="both"/>
        <w:rPr>
          <w:b/>
        </w:rPr>
      </w:pPr>
    </w:p>
    <w:p w:rsidR="0044762A" w:rsidRPr="009F7D8B" w:rsidRDefault="0044762A" w:rsidP="0044762A">
      <w:pPr>
        <w:rPr>
          <w:b/>
        </w:rPr>
      </w:pPr>
    </w:p>
    <w:p w:rsidR="0044762A" w:rsidRPr="009F7D8B" w:rsidRDefault="0044762A" w:rsidP="00CB7D5B">
      <w:pPr>
        <w:ind w:left="284"/>
        <w:jc w:val="both"/>
        <w:rPr>
          <w:b/>
        </w:rPr>
      </w:pPr>
      <w:r w:rsidRPr="009F7D8B">
        <w:rPr>
          <w:b/>
        </w:rPr>
        <w:t>Председатель комиссии:                                                                                С.</w:t>
      </w:r>
      <w:r w:rsidR="001C5648" w:rsidRPr="009F7D8B">
        <w:rPr>
          <w:b/>
        </w:rPr>
        <w:t xml:space="preserve"> </w:t>
      </w:r>
      <w:r w:rsidRPr="009F7D8B">
        <w:rPr>
          <w:b/>
        </w:rPr>
        <w:t xml:space="preserve">Д. </w:t>
      </w:r>
      <w:proofErr w:type="spellStart"/>
      <w:r w:rsidRPr="009F7D8B">
        <w:rPr>
          <w:b/>
        </w:rPr>
        <w:t>Голин</w:t>
      </w:r>
      <w:proofErr w:type="spellEnd"/>
    </w:p>
    <w:p w:rsidR="0044762A" w:rsidRPr="009F7D8B" w:rsidRDefault="0044762A" w:rsidP="00CB7D5B">
      <w:pPr>
        <w:ind w:left="284"/>
        <w:jc w:val="both"/>
        <w:rPr>
          <w:b/>
        </w:rPr>
      </w:pPr>
    </w:p>
    <w:p w:rsidR="0044762A" w:rsidRPr="009F7D8B" w:rsidRDefault="0044762A" w:rsidP="00CB7D5B">
      <w:pPr>
        <w:ind w:left="284"/>
        <w:rPr>
          <w:b/>
        </w:rPr>
      </w:pPr>
      <w:r w:rsidRPr="009F7D8B">
        <w:rPr>
          <w:b/>
        </w:rPr>
        <w:t xml:space="preserve">Члены  комиссии                                                                                                                                                     </w:t>
      </w:r>
    </w:p>
    <w:p w:rsidR="0044762A" w:rsidRPr="009F7D8B" w:rsidRDefault="0044762A" w:rsidP="00CB7D5B">
      <w:pPr>
        <w:ind w:left="284"/>
      </w:pPr>
    </w:p>
    <w:p w:rsidR="00CB7D5B" w:rsidRPr="009F7D8B" w:rsidRDefault="00CB7D5B" w:rsidP="00CB7D5B">
      <w:pPr>
        <w:ind w:left="284"/>
        <w:jc w:val="right"/>
      </w:pPr>
      <w:r w:rsidRPr="009F7D8B">
        <w:t xml:space="preserve">___________________В.К. </w:t>
      </w:r>
      <w:proofErr w:type="spellStart"/>
      <w:r w:rsidRPr="009F7D8B">
        <w:t>Бандурин</w:t>
      </w:r>
      <w:proofErr w:type="spellEnd"/>
      <w:r w:rsidR="0044762A" w:rsidRPr="009F7D8B">
        <w:t xml:space="preserve">                                                                </w:t>
      </w:r>
    </w:p>
    <w:p w:rsidR="0044762A" w:rsidRPr="009F7D8B" w:rsidRDefault="0044762A" w:rsidP="00CB7D5B">
      <w:pPr>
        <w:ind w:left="284"/>
        <w:jc w:val="right"/>
      </w:pPr>
      <w:r w:rsidRPr="009F7D8B">
        <w:t>____________________Н.А. Морозова</w:t>
      </w:r>
    </w:p>
    <w:p w:rsidR="009F5185" w:rsidRPr="009F7D8B" w:rsidRDefault="009F5185" w:rsidP="00CB7D5B">
      <w:pPr>
        <w:ind w:left="284"/>
        <w:jc w:val="right"/>
      </w:pPr>
      <w:r w:rsidRPr="009F7D8B">
        <w:t xml:space="preserve">__________________Т.И. </w:t>
      </w:r>
      <w:proofErr w:type="spellStart"/>
      <w:r w:rsidRPr="009F7D8B">
        <w:t>Долгодворова</w:t>
      </w:r>
      <w:proofErr w:type="spellEnd"/>
    </w:p>
    <w:p w:rsidR="0001396C" w:rsidRPr="009F7D8B" w:rsidRDefault="0001396C" w:rsidP="00CB7D5B">
      <w:pPr>
        <w:ind w:left="284"/>
        <w:jc w:val="right"/>
      </w:pPr>
      <w:r w:rsidRPr="009F7D8B">
        <w:t xml:space="preserve">___________________Ж.В. </w:t>
      </w:r>
      <w:proofErr w:type="spellStart"/>
      <w:r w:rsidRPr="009F7D8B">
        <w:t>Резинкина</w:t>
      </w:r>
      <w:proofErr w:type="spellEnd"/>
    </w:p>
    <w:p w:rsidR="0044762A" w:rsidRDefault="0044762A" w:rsidP="00CB7D5B">
      <w:pPr>
        <w:ind w:left="284"/>
        <w:jc w:val="right"/>
      </w:pPr>
      <w:r w:rsidRPr="009F7D8B">
        <w:tab/>
      </w:r>
      <w:r w:rsidRPr="009F7D8B">
        <w:tab/>
      </w:r>
      <w:r w:rsidRPr="009F7D8B">
        <w:tab/>
      </w:r>
      <w:r w:rsidRPr="009F7D8B">
        <w:tab/>
      </w:r>
      <w:r w:rsidRPr="009F7D8B">
        <w:tab/>
      </w:r>
      <w:r w:rsidRPr="009F7D8B">
        <w:tab/>
      </w:r>
      <w:r w:rsidRPr="009F7D8B">
        <w:tab/>
        <w:t xml:space="preserve">  __________________ </w:t>
      </w:r>
      <w:r w:rsidR="00BE7AE9" w:rsidRPr="009F7D8B">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A64893">
        <w:t xml:space="preserve"> </w:t>
      </w:r>
      <w:r w:rsidR="001C5648">
        <w:t xml:space="preserve"> </w:t>
      </w:r>
      <w:r>
        <w:t>________________</w:t>
      </w:r>
      <w:r w:rsidR="009F7D8B">
        <w:t>Е.Н. Сметанина</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9F5185" w:rsidRDefault="009F5185"/>
    <w:p w:rsidR="009F5185" w:rsidRDefault="009F5185"/>
    <w:p w:rsidR="009F5185" w:rsidRDefault="009F5185"/>
    <w:p w:rsidR="002A4679" w:rsidRDefault="002A4679" w:rsidP="002A4679">
      <w:pPr>
        <w:snapToGrid w:val="0"/>
        <w:ind w:right="120"/>
      </w:pPr>
    </w:p>
    <w:p w:rsidR="001D3D4E" w:rsidRDefault="001D3D4E" w:rsidP="001D3D4E">
      <w:pPr>
        <w:ind w:right="23"/>
        <w:jc w:val="right"/>
        <w:rPr>
          <w:sz w:val="16"/>
          <w:szCs w:val="16"/>
        </w:rPr>
        <w:sectPr w:rsidR="001D3D4E" w:rsidSect="00C0103D">
          <w:pgSz w:w="11906" w:h="16838"/>
          <w:pgMar w:top="568" w:right="850" w:bottom="851" w:left="567" w:header="708" w:footer="708" w:gutter="0"/>
          <w:cols w:space="708"/>
          <w:docGrid w:linePitch="360"/>
        </w:sectPr>
      </w:pPr>
    </w:p>
    <w:p w:rsidR="001D3D4E" w:rsidRPr="006421D7" w:rsidRDefault="001D3D4E" w:rsidP="001D3D4E">
      <w:pPr>
        <w:ind w:right="23"/>
        <w:jc w:val="right"/>
        <w:rPr>
          <w:sz w:val="16"/>
          <w:szCs w:val="16"/>
        </w:rPr>
      </w:pPr>
      <w:r>
        <w:rPr>
          <w:sz w:val="16"/>
          <w:szCs w:val="16"/>
        </w:rPr>
        <w:lastRenderedPageBreak/>
        <w:t xml:space="preserve">                                                                                                                                                            </w:t>
      </w:r>
      <w:r w:rsidRPr="006421D7">
        <w:rPr>
          <w:sz w:val="16"/>
          <w:szCs w:val="16"/>
        </w:rPr>
        <w:t>Приложение 1</w:t>
      </w:r>
    </w:p>
    <w:p w:rsidR="001D3D4E" w:rsidRDefault="001D3D4E" w:rsidP="001D3D4E">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1D3D4E" w:rsidRPr="006421D7" w:rsidRDefault="001D3D4E" w:rsidP="001D3D4E">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1D3D4E" w:rsidRPr="006421D7" w:rsidRDefault="001D3D4E" w:rsidP="001D3D4E">
      <w:pPr>
        <w:tabs>
          <w:tab w:val="left" w:pos="3930"/>
          <w:tab w:val="right" w:pos="9355"/>
        </w:tabs>
        <w:ind w:right="23"/>
        <w:jc w:val="right"/>
        <w:rPr>
          <w:sz w:val="16"/>
          <w:szCs w:val="16"/>
        </w:rPr>
      </w:pPr>
      <w:r>
        <w:rPr>
          <w:sz w:val="16"/>
          <w:szCs w:val="16"/>
        </w:rPr>
        <w:t xml:space="preserve">         от «29</w:t>
      </w:r>
      <w:r w:rsidRPr="006421D7">
        <w:rPr>
          <w:sz w:val="16"/>
          <w:szCs w:val="16"/>
        </w:rPr>
        <w:t xml:space="preserve">»  </w:t>
      </w:r>
      <w:r>
        <w:rPr>
          <w:sz w:val="16"/>
          <w:szCs w:val="16"/>
        </w:rPr>
        <w:t>августа  2017 г. № 0187300005817000290-1</w:t>
      </w:r>
    </w:p>
    <w:p w:rsidR="001D3D4E" w:rsidRPr="00C804E0" w:rsidRDefault="001D3D4E" w:rsidP="001D3D4E">
      <w:pPr>
        <w:ind w:left="-426" w:right="23"/>
        <w:jc w:val="center"/>
        <w:rPr>
          <w:color w:val="000000"/>
          <w:sz w:val="20"/>
          <w:szCs w:val="20"/>
        </w:rPr>
      </w:pPr>
      <w:r w:rsidRPr="00C804E0">
        <w:rPr>
          <w:color w:val="000000"/>
          <w:sz w:val="20"/>
          <w:szCs w:val="20"/>
        </w:rPr>
        <w:t>Таблица рассмотрения заявок</w:t>
      </w:r>
    </w:p>
    <w:p w:rsidR="001D3D4E" w:rsidRPr="00C804E0" w:rsidRDefault="001D3D4E" w:rsidP="001D3D4E">
      <w:pPr>
        <w:autoSpaceDE w:val="0"/>
        <w:autoSpaceDN w:val="0"/>
        <w:adjustRightInd w:val="0"/>
        <w:jc w:val="center"/>
        <w:rPr>
          <w:color w:val="000000"/>
          <w:sz w:val="20"/>
          <w:szCs w:val="20"/>
        </w:rPr>
      </w:pPr>
      <w:r w:rsidRPr="00C804E0">
        <w:rPr>
          <w:color w:val="000000"/>
          <w:sz w:val="20"/>
          <w:szCs w:val="20"/>
        </w:rPr>
        <w:t>на участие в аукционе в электронной форме</w:t>
      </w:r>
      <w:r w:rsidRPr="00C804E0">
        <w:rPr>
          <w:bCs/>
          <w:sz w:val="20"/>
          <w:szCs w:val="20"/>
        </w:rPr>
        <w:t xml:space="preserve"> </w:t>
      </w:r>
      <w:r w:rsidRPr="00027AC8">
        <w:rPr>
          <w:sz w:val="22"/>
          <w:szCs w:val="22"/>
        </w:rPr>
        <w:t>среди субъектов малого предпринимательства и социально ориентированных некоммерческих организаций</w:t>
      </w:r>
      <w:r>
        <w:rPr>
          <w:sz w:val="22"/>
          <w:szCs w:val="22"/>
        </w:rPr>
        <w:t xml:space="preserve"> на </w:t>
      </w:r>
      <w:r w:rsidRPr="00645329">
        <w:rPr>
          <w:sz w:val="22"/>
          <w:szCs w:val="22"/>
        </w:rPr>
        <w:t xml:space="preserve">поставку </w:t>
      </w:r>
      <w:r w:rsidRPr="00D5657F">
        <w:rPr>
          <w:sz w:val="22"/>
          <w:szCs w:val="22"/>
        </w:rPr>
        <w:t>трибун</w:t>
      </w:r>
      <w:r w:rsidRPr="00C804E0">
        <w:rPr>
          <w:color w:val="000000"/>
          <w:sz w:val="20"/>
          <w:szCs w:val="20"/>
        </w:rPr>
        <w:t xml:space="preserve"> на объект: «Физкультурно-спортивный комплекс с универсальным игровым залом в городе </w:t>
      </w:r>
      <w:proofErr w:type="spellStart"/>
      <w:r w:rsidRPr="00C804E0">
        <w:rPr>
          <w:color w:val="000000"/>
          <w:sz w:val="20"/>
          <w:szCs w:val="20"/>
        </w:rPr>
        <w:t>Югорске</w:t>
      </w:r>
      <w:proofErr w:type="spellEnd"/>
      <w:r w:rsidRPr="00C804E0">
        <w:rPr>
          <w:color w:val="000000"/>
          <w:sz w:val="20"/>
          <w:szCs w:val="20"/>
        </w:rPr>
        <w:t>».</w:t>
      </w:r>
    </w:p>
    <w:p w:rsidR="001D3D4E" w:rsidRPr="001622BB" w:rsidRDefault="001D3D4E" w:rsidP="001D3D4E">
      <w:pPr>
        <w:suppressAutoHyphens w:val="0"/>
        <w:autoSpaceDE w:val="0"/>
        <w:autoSpaceDN w:val="0"/>
        <w:adjustRightInd w:val="0"/>
        <w:jc w:val="center"/>
        <w:rPr>
          <w:color w:val="000000"/>
          <w:sz w:val="20"/>
          <w:szCs w:val="20"/>
        </w:rPr>
      </w:pPr>
    </w:p>
    <w:p w:rsidR="001D3D4E" w:rsidRDefault="001D3D4E" w:rsidP="00C0103D">
      <w:pPr>
        <w:suppressAutoHyphens w:val="0"/>
        <w:autoSpaceDE w:val="0"/>
        <w:autoSpaceDN w:val="0"/>
        <w:adjustRightInd w:val="0"/>
        <w:ind w:left="-426"/>
        <w:rPr>
          <w:color w:val="000000"/>
          <w:sz w:val="18"/>
          <w:szCs w:val="18"/>
        </w:rPr>
      </w:pP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C0103D" w:rsidRPr="00200F50" w:rsidRDefault="00C0103D" w:rsidP="00C0103D">
      <w:pPr>
        <w:suppressAutoHyphens w:val="0"/>
        <w:autoSpaceDE w:val="0"/>
        <w:autoSpaceDN w:val="0"/>
        <w:adjustRightInd w:val="0"/>
        <w:ind w:left="-426"/>
        <w:rPr>
          <w:color w:val="000000"/>
          <w:sz w:val="18"/>
          <w:szCs w:val="18"/>
        </w:rPr>
      </w:pP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567"/>
        <w:gridCol w:w="3544"/>
        <w:gridCol w:w="1275"/>
        <w:gridCol w:w="1276"/>
        <w:gridCol w:w="1275"/>
        <w:gridCol w:w="1277"/>
        <w:gridCol w:w="1277"/>
        <w:gridCol w:w="1276"/>
        <w:gridCol w:w="1274"/>
        <w:gridCol w:w="1276"/>
      </w:tblGrid>
      <w:tr w:rsidR="001D3D4E" w:rsidRPr="00F32E0D" w:rsidTr="009F7D8B">
        <w:trPr>
          <w:trHeight w:val="201"/>
        </w:trPr>
        <w:tc>
          <w:tcPr>
            <w:tcW w:w="1844" w:type="dxa"/>
            <w:vMerge w:val="restart"/>
          </w:tcPr>
          <w:p w:rsidR="001D3D4E" w:rsidRPr="00F32E0D" w:rsidRDefault="001D3D4E" w:rsidP="00420061">
            <w:pPr>
              <w:snapToGrid w:val="0"/>
              <w:jc w:val="center"/>
              <w:rPr>
                <w:color w:val="000000"/>
                <w:sz w:val="18"/>
                <w:szCs w:val="18"/>
              </w:rPr>
            </w:pPr>
            <w:r w:rsidRPr="00F32E0D">
              <w:rPr>
                <w:color w:val="000000"/>
                <w:sz w:val="18"/>
                <w:szCs w:val="18"/>
              </w:rPr>
              <w:t>Обязательные требования</w:t>
            </w:r>
          </w:p>
        </w:tc>
        <w:tc>
          <w:tcPr>
            <w:tcW w:w="567" w:type="dxa"/>
            <w:vMerge w:val="restart"/>
            <w:hideMark/>
          </w:tcPr>
          <w:p w:rsidR="001D3D4E" w:rsidRPr="00F32E0D" w:rsidRDefault="001D3D4E" w:rsidP="00420061">
            <w:pPr>
              <w:widowControl w:val="0"/>
              <w:snapToGrid w:val="0"/>
              <w:jc w:val="center"/>
              <w:rPr>
                <w:color w:val="000000"/>
                <w:sz w:val="18"/>
                <w:szCs w:val="18"/>
              </w:rPr>
            </w:pPr>
            <w:r w:rsidRPr="00F32E0D">
              <w:rPr>
                <w:color w:val="000000"/>
                <w:sz w:val="18"/>
                <w:szCs w:val="18"/>
              </w:rPr>
              <w:t>№ пункта</w:t>
            </w:r>
          </w:p>
        </w:tc>
        <w:tc>
          <w:tcPr>
            <w:tcW w:w="3544" w:type="dxa"/>
            <w:vMerge w:val="restart"/>
            <w:hideMark/>
          </w:tcPr>
          <w:p w:rsidR="001D3D4E" w:rsidRPr="00F32E0D" w:rsidRDefault="001D3D4E" w:rsidP="00420061">
            <w:pPr>
              <w:widowControl w:val="0"/>
              <w:snapToGrid w:val="0"/>
              <w:jc w:val="center"/>
              <w:rPr>
                <w:color w:val="000000"/>
                <w:sz w:val="18"/>
                <w:szCs w:val="18"/>
              </w:rPr>
            </w:pPr>
            <w:r w:rsidRPr="00F32E0D">
              <w:rPr>
                <w:color w:val="000000"/>
                <w:sz w:val="18"/>
                <w:szCs w:val="18"/>
              </w:rPr>
              <w:t>Характеристика товара</w:t>
            </w:r>
          </w:p>
        </w:tc>
        <w:tc>
          <w:tcPr>
            <w:tcW w:w="7656" w:type="dxa"/>
            <w:gridSpan w:val="6"/>
          </w:tcPr>
          <w:p w:rsidR="001D3D4E" w:rsidRPr="00F32E0D" w:rsidRDefault="001D3D4E" w:rsidP="00420061">
            <w:pPr>
              <w:jc w:val="center"/>
              <w:rPr>
                <w:rFonts w:eastAsia="Calibri"/>
                <w:sz w:val="18"/>
                <w:szCs w:val="18"/>
              </w:rPr>
            </w:pPr>
            <w:r w:rsidRPr="00F32E0D">
              <w:rPr>
                <w:rFonts w:eastAsia="Calibri"/>
                <w:sz w:val="18"/>
                <w:szCs w:val="18"/>
              </w:rPr>
              <w:t>Номер заявки</w:t>
            </w:r>
          </w:p>
        </w:tc>
        <w:tc>
          <w:tcPr>
            <w:tcW w:w="2550" w:type="dxa"/>
            <w:gridSpan w:val="2"/>
          </w:tcPr>
          <w:p w:rsidR="001D3D4E" w:rsidRPr="00F32E0D" w:rsidRDefault="001D3D4E" w:rsidP="00420061">
            <w:pPr>
              <w:jc w:val="center"/>
              <w:rPr>
                <w:rFonts w:eastAsia="Calibri"/>
                <w:sz w:val="18"/>
                <w:szCs w:val="18"/>
              </w:rPr>
            </w:pPr>
          </w:p>
        </w:tc>
      </w:tr>
      <w:tr w:rsidR="001D3D4E" w:rsidRPr="00F32E0D" w:rsidTr="009F7D8B">
        <w:trPr>
          <w:trHeight w:val="205"/>
        </w:trPr>
        <w:tc>
          <w:tcPr>
            <w:tcW w:w="1844" w:type="dxa"/>
            <w:vMerge/>
            <w:vAlign w:val="center"/>
            <w:hideMark/>
          </w:tcPr>
          <w:p w:rsidR="001D3D4E" w:rsidRPr="00F32E0D" w:rsidRDefault="001D3D4E" w:rsidP="00420061">
            <w:pPr>
              <w:rPr>
                <w:color w:val="000000"/>
                <w:sz w:val="18"/>
                <w:szCs w:val="18"/>
              </w:rPr>
            </w:pPr>
          </w:p>
        </w:tc>
        <w:tc>
          <w:tcPr>
            <w:tcW w:w="567" w:type="dxa"/>
            <w:vMerge/>
            <w:vAlign w:val="center"/>
            <w:hideMark/>
          </w:tcPr>
          <w:p w:rsidR="001D3D4E" w:rsidRPr="00F32E0D" w:rsidRDefault="001D3D4E" w:rsidP="00420061">
            <w:pPr>
              <w:rPr>
                <w:color w:val="000000"/>
                <w:sz w:val="18"/>
                <w:szCs w:val="18"/>
              </w:rPr>
            </w:pPr>
          </w:p>
        </w:tc>
        <w:tc>
          <w:tcPr>
            <w:tcW w:w="3544" w:type="dxa"/>
            <w:vMerge/>
            <w:vAlign w:val="center"/>
            <w:hideMark/>
          </w:tcPr>
          <w:p w:rsidR="001D3D4E" w:rsidRPr="00F32E0D" w:rsidRDefault="001D3D4E" w:rsidP="00420061">
            <w:pPr>
              <w:rPr>
                <w:color w:val="000000"/>
                <w:sz w:val="18"/>
                <w:szCs w:val="18"/>
              </w:rPr>
            </w:pPr>
          </w:p>
        </w:tc>
        <w:tc>
          <w:tcPr>
            <w:tcW w:w="1275" w:type="dxa"/>
            <w:shd w:val="clear" w:color="auto" w:fill="auto"/>
          </w:tcPr>
          <w:p w:rsidR="001D3D4E" w:rsidRPr="00F32E0D" w:rsidRDefault="001D3D4E" w:rsidP="00420061">
            <w:pPr>
              <w:suppressAutoHyphens w:val="0"/>
              <w:jc w:val="center"/>
              <w:rPr>
                <w:rFonts w:eastAsia="Calibri"/>
                <w:sz w:val="18"/>
                <w:szCs w:val="18"/>
              </w:rPr>
            </w:pPr>
            <w:r w:rsidRPr="00F32E0D">
              <w:rPr>
                <w:sz w:val="18"/>
                <w:szCs w:val="18"/>
              </w:rPr>
              <w:t>Заявка №1</w:t>
            </w:r>
          </w:p>
        </w:tc>
        <w:tc>
          <w:tcPr>
            <w:tcW w:w="1276" w:type="dxa"/>
          </w:tcPr>
          <w:p w:rsidR="001D3D4E" w:rsidRPr="00F32E0D" w:rsidRDefault="001D3D4E" w:rsidP="00420061">
            <w:pPr>
              <w:suppressAutoHyphens w:val="0"/>
              <w:jc w:val="center"/>
              <w:rPr>
                <w:rFonts w:eastAsia="Calibri"/>
                <w:sz w:val="18"/>
                <w:szCs w:val="18"/>
              </w:rPr>
            </w:pPr>
            <w:r w:rsidRPr="00F32E0D">
              <w:rPr>
                <w:sz w:val="18"/>
                <w:szCs w:val="18"/>
              </w:rPr>
              <w:t>Заявка №2</w:t>
            </w:r>
          </w:p>
        </w:tc>
        <w:tc>
          <w:tcPr>
            <w:tcW w:w="1275" w:type="dxa"/>
          </w:tcPr>
          <w:p w:rsidR="001D3D4E" w:rsidRPr="00F32E0D" w:rsidRDefault="001D3D4E" w:rsidP="00420061">
            <w:pPr>
              <w:suppressAutoHyphens w:val="0"/>
              <w:jc w:val="center"/>
              <w:rPr>
                <w:sz w:val="18"/>
                <w:szCs w:val="18"/>
              </w:rPr>
            </w:pPr>
            <w:r w:rsidRPr="00F32E0D">
              <w:rPr>
                <w:sz w:val="18"/>
                <w:szCs w:val="18"/>
              </w:rPr>
              <w:t>Заявка №4</w:t>
            </w:r>
          </w:p>
        </w:tc>
        <w:tc>
          <w:tcPr>
            <w:tcW w:w="1277" w:type="dxa"/>
          </w:tcPr>
          <w:p w:rsidR="001D3D4E" w:rsidRPr="00F32E0D" w:rsidRDefault="001D3D4E" w:rsidP="00420061">
            <w:pPr>
              <w:suppressAutoHyphens w:val="0"/>
              <w:jc w:val="center"/>
              <w:rPr>
                <w:sz w:val="18"/>
                <w:szCs w:val="18"/>
              </w:rPr>
            </w:pPr>
            <w:r w:rsidRPr="00F32E0D">
              <w:rPr>
                <w:sz w:val="18"/>
                <w:szCs w:val="18"/>
              </w:rPr>
              <w:t>Заявка №5</w:t>
            </w:r>
          </w:p>
        </w:tc>
        <w:tc>
          <w:tcPr>
            <w:tcW w:w="1277" w:type="dxa"/>
          </w:tcPr>
          <w:p w:rsidR="001D3D4E" w:rsidRPr="00F32E0D" w:rsidRDefault="001D3D4E" w:rsidP="00420061">
            <w:pPr>
              <w:suppressAutoHyphens w:val="0"/>
              <w:jc w:val="center"/>
              <w:rPr>
                <w:sz w:val="18"/>
                <w:szCs w:val="18"/>
              </w:rPr>
            </w:pPr>
            <w:r w:rsidRPr="00F32E0D">
              <w:rPr>
                <w:sz w:val="18"/>
                <w:szCs w:val="18"/>
              </w:rPr>
              <w:t>Заявка №6</w:t>
            </w:r>
          </w:p>
        </w:tc>
        <w:tc>
          <w:tcPr>
            <w:tcW w:w="1276" w:type="dxa"/>
          </w:tcPr>
          <w:p w:rsidR="001D3D4E" w:rsidRPr="00F32E0D" w:rsidRDefault="001D3D4E" w:rsidP="00420061">
            <w:pPr>
              <w:suppressAutoHyphens w:val="0"/>
              <w:jc w:val="center"/>
              <w:rPr>
                <w:sz w:val="18"/>
                <w:szCs w:val="18"/>
              </w:rPr>
            </w:pPr>
            <w:r w:rsidRPr="00F32E0D">
              <w:rPr>
                <w:sz w:val="18"/>
                <w:szCs w:val="18"/>
              </w:rPr>
              <w:t>Заявка №7</w:t>
            </w:r>
          </w:p>
        </w:tc>
        <w:tc>
          <w:tcPr>
            <w:tcW w:w="1274" w:type="dxa"/>
          </w:tcPr>
          <w:p w:rsidR="001D3D4E" w:rsidRPr="00F32E0D" w:rsidRDefault="001D3D4E" w:rsidP="00420061">
            <w:pPr>
              <w:suppressAutoHyphens w:val="0"/>
              <w:jc w:val="center"/>
              <w:rPr>
                <w:sz w:val="18"/>
                <w:szCs w:val="18"/>
              </w:rPr>
            </w:pPr>
            <w:r w:rsidRPr="00F32E0D">
              <w:rPr>
                <w:sz w:val="18"/>
                <w:szCs w:val="18"/>
              </w:rPr>
              <w:t>Заявка №8</w:t>
            </w:r>
          </w:p>
        </w:tc>
        <w:tc>
          <w:tcPr>
            <w:tcW w:w="1276" w:type="dxa"/>
          </w:tcPr>
          <w:p w:rsidR="001D3D4E" w:rsidRPr="00F32E0D" w:rsidRDefault="001D3D4E" w:rsidP="00420061">
            <w:pPr>
              <w:suppressAutoHyphens w:val="0"/>
              <w:jc w:val="center"/>
              <w:rPr>
                <w:sz w:val="18"/>
                <w:szCs w:val="18"/>
              </w:rPr>
            </w:pPr>
            <w:r>
              <w:rPr>
                <w:sz w:val="18"/>
                <w:szCs w:val="18"/>
              </w:rPr>
              <w:t>Заявка №9</w:t>
            </w:r>
          </w:p>
        </w:tc>
      </w:tr>
      <w:tr w:rsidR="001D3D4E" w:rsidRPr="00F32E0D" w:rsidTr="009F7D8B">
        <w:trPr>
          <w:trHeight w:val="399"/>
        </w:trPr>
        <w:tc>
          <w:tcPr>
            <w:tcW w:w="1844" w:type="dxa"/>
            <w:vMerge w:val="restart"/>
            <w:hideMark/>
          </w:tcPr>
          <w:p w:rsidR="001D3D4E" w:rsidRPr="00F32E0D" w:rsidRDefault="001D3D4E" w:rsidP="00420061">
            <w:pPr>
              <w:snapToGrid w:val="0"/>
              <w:rPr>
                <w:sz w:val="18"/>
                <w:szCs w:val="18"/>
              </w:rPr>
            </w:pPr>
            <w:r w:rsidRPr="00F32E0D">
              <w:rPr>
                <w:sz w:val="18"/>
                <w:szCs w:val="18"/>
              </w:rPr>
              <w:t>Первая часть заявки на участие в электронном аукционе должна содержать следующие сведения:</w:t>
            </w:r>
          </w:p>
          <w:p w:rsidR="001D3D4E" w:rsidRPr="00F32E0D" w:rsidRDefault="001D3D4E" w:rsidP="00420061">
            <w:pPr>
              <w:snapToGrid w:val="0"/>
              <w:rPr>
                <w:sz w:val="18"/>
                <w:szCs w:val="18"/>
              </w:rPr>
            </w:pPr>
            <w:proofErr w:type="gramStart"/>
            <w:r w:rsidRPr="00F32E0D">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F32E0D">
              <w:rPr>
                <w:sz w:val="18"/>
                <w:szCs w:val="18"/>
                <w:lang w:val="en-US"/>
              </w:rPr>
              <w:t>II</w:t>
            </w:r>
            <w:r w:rsidRPr="00F32E0D">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rsidRPr="00F32E0D">
              <w:rPr>
                <w:sz w:val="18"/>
                <w:szCs w:val="18"/>
              </w:rPr>
              <w:lastRenderedPageBreak/>
              <w:t>полезные модели (при наличии), промышленные образцы (при наличии), наименование</w:t>
            </w:r>
            <w:proofErr w:type="gramEnd"/>
            <w:r w:rsidRPr="00F32E0D">
              <w:rPr>
                <w:sz w:val="18"/>
                <w:szCs w:val="18"/>
              </w:rPr>
              <w:t xml:space="preserve"> страны происхождения товара.</w:t>
            </w:r>
          </w:p>
        </w:tc>
        <w:tc>
          <w:tcPr>
            <w:tcW w:w="567" w:type="dxa"/>
          </w:tcPr>
          <w:p w:rsidR="001D3D4E" w:rsidRPr="00F32E0D" w:rsidRDefault="001D3D4E" w:rsidP="00420061">
            <w:pPr>
              <w:jc w:val="center"/>
              <w:rPr>
                <w:sz w:val="18"/>
                <w:szCs w:val="18"/>
              </w:rPr>
            </w:pPr>
            <w:r w:rsidRPr="00F32E0D">
              <w:rPr>
                <w:sz w:val="18"/>
                <w:szCs w:val="18"/>
              </w:rPr>
              <w:lastRenderedPageBreak/>
              <w:t>1</w:t>
            </w:r>
          </w:p>
        </w:tc>
        <w:tc>
          <w:tcPr>
            <w:tcW w:w="3544" w:type="dxa"/>
            <w:vAlign w:val="center"/>
          </w:tcPr>
          <w:p w:rsidR="001D3D4E" w:rsidRPr="00F32E0D" w:rsidRDefault="001D3D4E" w:rsidP="00420061">
            <w:pPr>
              <w:pStyle w:val="1"/>
              <w:tabs>
                <w:tab w:val="clear" w:pos="0"/>
              </w:tabs>
              <w:ind w:firstLine="34"/>
              <w:jc w:val="both"/>
              <w:rPr>
                <w:b w:val="0"/>
                <w:sz w:val="18"/>
                <w:szCs w:val="18"/>
              </w:rPr>
            </w:pPr>
            <w:r w:rsidRPr="00F32E0D">
              <w:rPr>
                <w:b w:val="0"/>
                <w:sz w:val="18"/>
                <w:szCs w:val="18"/>
              </w:rPr>
              <w:t>Трибуна металлическая сборно-разборная. Габаритные размеры, длина трибуны 14175 мм; глубина трибуны 3265 мм:; высота (с ограждениями) 2400 мм; (неизменяемые значения) Количество рядов не менее 4; Количество посадочных мест не менее 88; Глубина ряда 900 мм; Расстояние между центрами соседних кресел не менее,475 мм; Длина одного сектора в плане (не менее 4-х посадочных места в ряду) не менее 1900 мм; Длина одного сектора в плане (не менее 3-х посадочных места в ряду) не менее 1425 мм; Длина одного сектора в плане (не менее 2-х посадочных места в ряду) не менее 950 мм; Ширина лестничного прохода не менее 1100 мм; Ширина прохода между рядами не менее 500 мм; Перепад по высоте между рядами, не менее 400 мм; Высота ступеней не менее 200 мм;</w:t>
            </w:r>
          </w:p>
          <w:p w:rsidR="001D3D4E" w:rsidRPr="00F32E0D" w:rsidRDefault="001D3D4E" w:rsidP="00420061">
            <w:pPr>
              <w:tabs>
                <w:tab w:val="left" w:pos="-392"/>
                <w:tab w:val="left" w:pos="0"/>
                <w:tab w:val="left" w:pos="1134"/>
              </w:tabs>
              <w:rPr>
                <w:sz w:val="18"/>
                <w:szCs w:val="18"/>
              </w:rPr>
            </w:pPr>
            <w:r w:rsidRPr="00F32E0D">
              <w:rPr>
                <w:sz w:val="18"/>
                <w:szCs w:val="18"/>
              </w:rPr>
              <w:t>Высота боковых и задних ограждений не менее 1200 мм. Ограждения выполнены в форме металлических перил с горизонтальными перемычками из труб с толщиной стенки не менее 1,5 и не более 2 мм.</w:t>
            </w:r>
          </w:p>
          <w:p w:rsidR="001D3D4E" w:rsidRPr="00F32E0D" w:rsidRDefault="001D3D4E" w:rsidP="00420061">
            <w:pPr>
              <w:pStyle w:val="1"/>
              <w:tabs>
                <w:tab w:val="left" w:pos="-392"/>
              </w:tabs>
              <w:ind w:left="33" w:hanging="283"/>
              <w:jc w:val="both"/>
              <w:rPr>
                <w:b w:val="0"/>
                <w:sz w:val="18"/>
                <w:szCs w:val="18"/>
              </w:rPr>
            </w:pPr>
            <w:r w:rsidRPr="00F32E0D">
              <w:rPr>
                <w:b w:val="0"/>
                <w:sz w:val="18"/>
                <w:szCs w:val="18"/>
              </w:rPr>
              <w:t>Настил проходов и ступеней – фанера влагостойкая с противоскользящим покрытием, толщина фанеры не менее 17 мм. Обшивка – фанера влагостойкая ламинированная толщиной не менее 9 мм.</w:t>
            </w:r>
          </w:p>
          <w:p w:rsidR="001D3D4E" w:rsidRPr="00F32E0D" w:rsidRDefault="001D3D4E" w:rsidP="00420061">
            <w:pPr>
              <w:pStyle w:val="1"/>
              <w:tabs>
                <w:tab w:val="left" w:pos="-392"/>
              </w:tabs>
              <w:ind w:left="33" w:hanging="283"/>
              <w:jc w:val="both"/>
              <w:rPr>
                <w:b w:val="0"/>
                <w:sz w:val="18"/>
                <w:szCs w:val="18"/>
              </w:rPr>
            </w:pPr>
            <w:r w:rsidRPr="00F32E0D">
              <w:rPr>
                <w:b w:val="0"/>
                <w:sz w:val="18"/>
                <w:szCs w:val="18"/>
              </w:rPr>
              <w:t xml:space="preserve"> Тип сидений – индивидуальные пластмассовые со спинкой, антивандальные, 4 точки крепления сверху, фактура поверхности сиденья – глянец.  Размеры сидения ширина 430 мм; </w:t>
            </w:r>
            <w:r w:rsidRPr="00F32E0D">
              <w:rPr>
                <w:b w:val="0"/>
                <w:sz w:val="18"/>
                <w:szCs w:val="18"/>
              </w:rPr>
              <w:lastRenderedPageBreak/>
              <w:t>высота 340 мм; глубина 400 мм</w:t>
            </w:r>
            <w:r w:rsidRPr="00F32E0D">
              <w:rPr>
                <w:b w:val="0"/>
                <w:color w:val="FF0000"/>
                <w:sz w:val="18"/>
                <w:szCs w:val="18"/>
              </w:rPr>
              <w:t>.</w:t>
            </w:r>
            <w:r w:rsidRPr="00F32E0D">
              <w:rPr>
                <w:b w:val="0"/>
                <w:sz w:val="18"/>
                <w:szCs w:val="18"/>
              </w:rPr>
              <w:t xml:space="preserve"> (неизменяемые значения) </w:t>
            </w:r>
          </w:p>
          <w:p w:rsidR="001D3D4E" w:rsidRPr="00F32E0D" w:rsidRDefault="001D3D4E" w:rsidP="00420061">
            <w:pPr>
              <w:pStyle w:val="1"/>
              <w:ind w:left="34" w:hanging="34"/>
              <w:jc w:val="both"/>
              <w:rPr>
                <w:b w:val="0"/>
                <w:sz w:val="18"/>
                <w:szCs w:val="18"/>
              </w:rPr>
            </w:pPr>
            <w:r w:rsidRPr="00F32E0D">
              <w:rPr>
                <w:b w:val="0"/>
                <w:sz w:val="18"/>
                <w:szCs w:val="18"/>
              </w:rPr>
              <w:t>В соответствии с ГОСТ 8645-68 и ГОСТ 8639-82. ГОСТ 10704-91, ГОСТ 19903-74</w:t>
            </w:r>
          </w:p>
        </w:tc>
        <w:tc>
          <w:tcPr>
            <w:tcW w:w="1275" w:type="dxa"/>
            <w:shd w:val="clear" w:color="auto" w:fill="auto"/>
            <w:vAlign w:val="center"/>
          </w:tcPr>
          <w:p w:rsidR="001D3D4E" w:rsidRPr="00F32E0D" w:rsidRDefault="001D3D4E" w:rsidP="00C0103D">
            <w:pPr>
              <w:suppressAutoHyphens w:val="0"/>
              <w:ind w:left="-108"/>
              <w:jc w:val="center"/>
              <w:rPr>
                <w:color w:val="000000"/>
                <w:kern w:val="0"/>
                <w:sz w:val="18"/>
                <w:szCs w:val="18"/>
                <w:lang w:eastAsia="ru-RU"/>
              </w:rPr>
            </w:pPr>
            <w:r w:rsidRPr="00F32E0D">
              <w:rPr>
                <w:rFonts w:eastAsia="Calibri"/>
                <w:sz w:val="18"/>
                <w:szCs w:val="18"/>
              </w:rPr>
              <w:lastRenderedPageBreak/>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5"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7" w:type="dxa"/>
            <w:vAlign w:val="center"/>
          </w:tcPr>
          <w:p w:rsidR="001D3D4E" w:rsidRPr="00F32E0D" w:rsidRDefault="001D3D4E" w:rsidP="00C0103D">
            <w:pPr>
              <w:suppressAutoHyphens w:val="0"/>
              <w:ind w:left="-108"/>
              <w:jc w:val="center"/>
              <w:rPr>
                <w:color w:val="000000"/>
                <w:kern w:val="0"/>
                <w:sz w:val="18"/>
                <w:szCs w:val="18"/>
                <w:lang w:eastAsia="ru-RU"/>
              </w:rPr>
            </w:pPr>
            <w:r w:rsidRPr="00F32E0D">
              <w:rPr>
                <w:rFonts w:eastAsia="Calibri"/>
                <w:sz w:val="18"/>
                <w:szCs w:val="18"/>
              </w:rPr>
              <w:t>соответствует</w:t>
            </w:r>
          </w:p>
        </w:tc>
        <w:tc>
          <w:tcPr>
            <w:tcW w:w="1277"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4"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r>
      <w:tr w:rsidR="001D3D4E" w:rsidRPr="00F32E0D" w:rsidTr="009F7D8B">
        <w:trPr>
          <w:trHeight w:val="276"/>
        </w:trPr>
        <w:tc>
          <w:tcPr>
            <w:tcW w:w="1844" w:type="dxa"/>
            <w:vMerge/>
          </w:tcPr>
          <w:p w:rsidR="001D3D4E" w:rsidRPr="00F32E0D" w:rsidRDefault="001D3D4E" w:rsidP="00420061">
            <w:pPr>
              <w:snapToGrid w:val="0"/>
              <w:rPr>
                <w:sz w:val="18"/>
                <w:szCs w:val="18"/>
              </w:rPr>
            </w:pPr>
          </w:p>
        </w:tc>
        <w:tc>
          <w:tcPr>
            <w:tcW w:w="567" w:type="dxa"/>
          </w:tcPr>
          <w:p w:rsidR="001D3D4E" w:rsidRPr="00F32E0D" w:rsidRDefault="001D3D4E" w:rsidP="00420061">
            <w:pPr>
              <w:jc w:val="center"/>
              <w:rPr>
                <w:sz w:val="18"/>
                <w:szCs w:val="18"/>
              </w:rPr>
            </w:pPr>
            <w:r w:rsidRPr="00F32E0D">
              <w:rPr>
                <w:sz w:val="18"/>
                <w:szCs w:val="18"/>
              </w:rPr>
              <w:t>2</w:t>
            </w:r>
          </w:p>
        </w:tc>
        <w:tc>
          <w:tcPr>
            <w:tcW w:w="3544" w:type="dxa"/>
            <w:vAlign w:val="center"/>
          </w:tcPr>
          <w:p w:rsidR="001D3D4E" w:rsidRPr="00F32E0D" w:rsidRDefault="001D3D4E" w:rsidP="00420061">
            <w:pPr>
              <w:tabs>
                <w:tab w:val="left" w:pos="0"/>
                <w:tab w:val="left" w:pos="1134"/>
              </w:tabs>
              <w:rPr>
                <w:sz w:val="18"/>
                <w:szCs w:val="18"/>
              </w:rPr>
            </w:pPr>
            <w:r w:rsidRPr="00F32E0D">
              <w:rPr>
                <w:sz w:val="18"/>
                <w:szCs w:val="18"/>
              </w:rPr>
              <w:t xml:space="preserve">Трибуна металлическая сборно-разборная. Габаритные размеры, </w:t>
            </w:r>
            <w:proofErr w:type="gramStart"/>
            <w:r w:rsidRPr="00F32E0D">
              <w:rPr>
                <w:sz w:val="18"/>
                <w:szCs w:val="18"/>
              </w:rPr>
              <w:t>мм</w:t>
            </w:r>
            <w:proofErr w:type="gramEnd"/>
            <w:r w:rsidRPr="00F32E0D">
              <w:rPr>
                <w:sz w:val="18"/>
                <w:szCs w:val="18"/>
              </w:rPr>
              <w:t>: длина трибуны- 18 500; глубина трибуны- 3265; высота (с ограждениями)-  2 400; (неизменяемые значения). Количество рядов не менее 4. Количество посадочных мест не менее 138. Глубина ряда не менее 900 мм. Расстояние между центрами соседних кресел не менее 450 мм. Длина одного сектора в плане (не менее 4-х посадочных места в ряду) не менее 1800 мм. Длина одного сектора в плане (не менее 3-х посадочных места в ряду) не менее 1350 мм. Длина одного сектора в плане (не менее 2-х посадочных места в ряду) не менее 900 мм. Ширина лестничного прохода не менее1100 мм. Ширина прохода между рядами не менее 500 мм. Перепад по высоте между рядами не менее 400 мм. Высота ступеней не менее 200 мм. Высота боковых и задних ограждений не менее 1200 мм. Ограждения выполнены в форме металлических перил с горизонтальными перемычками из труб с толщиной стенки не менее 1,5 и не более 2 мм.</w:t>
            </w:r>
          </w:p>
          <w:p w:rsidR="001D3D4E" w:rsidRPr="00F32E0D" w:rsidRDefault="001D3D4E" w:rsidP="00420061">
            <w:pPr>
              <w:pStyle w:val="1"/>
              <w:ind w:left="33" w:hanging="33"/>
              <w:jc w:val="both"/>
              <w:rPr>
                <w:b w:val="0"/>
                <w:sz w:val="18"/>
                <w:szCs w:val="18"/>
              </w:rPr>
            </w:pPr>
            <w:r w:rsidRPr="00F32E0D">
              <w:rPr>
                <w:b w:val="0"/>
                <w:sz w:val="18"/>
                <w:szCs w:val="18"/>
              </w:rPr>
              <w:t xml:space="preserve">Настил проходов и ступеней – фанера влагостойкая с противоскользящим покрытием, толщина фанеры не менее 17 мм. Обшивка – фанера влагостойкая ламинированная толщиной не менее 9 мм. </w:t>
            </w:r>
          </w:p>
          <w:p w:rsidR="001D3D4E" w:rsidRPr="00F32E0D" w:rsidRDefault="001D3D4E" w:rsidP="00420061">
            <w:pPr>
              <w:pStyle w:val="1"/>
              <w:ind w:left="33" w:hanging="33"/>
              <w:jc w:val="both"/>
              <w:rPr>
                <w:b w:val="0"/>
                <w:sz w:val="18"/>
                <w:szCs w:val="18"/>
              </w:rPr>
            </w:pPr>
            <w:r w:rsidRPr="00F32E0D">
              <w:rPr>
                <w:b w:val="0"/>
                <w:sz w:val="18"/>
                <w:szCs w:val="18"/>
              </w:rPr>
              <w:t>Тип сидений – индивидуальные пластмассовые со спинкой, антивандальные, 4 точки крепления сверху, фактура поверхности сиденья – глянец.  Тип сидений – индивидуальные пластмассовые со спинкой, антивандальные, 4 точки крепления сверху, фактура поверхности сиденья – глянец.  Размеры сидения, мм: ширина- 430; высота- 340; глубина- 400 (неизменяемые значения).</w:t>
            </w:r>
          </w:p>
          <w:p w:rsidR="001D3D4E" w:rsidRPr="00F32E0D" w:rsidRDefault="001D3D4E" w:rsidP="00420061">
            <w:pPr>
              <w:pStyle w:val="1"/>
              <w:numPr>
                <w:ilvl w:val="0"/>
                <w:numId w:val="0"/>
              </w:numPr>
              <w:ind w:left="33"/>
              <w:jc w:val="both"/>
              <w:rPr>
                <w:b w:val="0"/>
                <w:sz w:val="18"/>
                <w:szCs w:val="18"/>
              </w:rPr>
            </w:pPr>
            <w:r w:rsidRPr="00F32E0D">
              <w:rPr>
                <w:b w:val="0"/>
                <w:sz w:val="18"/>
                <w:szCs w:val="18"/>
              </w:rPr>
              <w:t>В соответствии с ГОСТ 8645-68 и ГОСТ 8639-82. ГОСТ 10704-91, ГОСТ 19903-74</w:t>
            </w:r>
          </w:p>
        </w:tc>
        <w:tc>
          <w:tcPr>
            <w:tcW w:w="1275" w:type="dxa"/>
            <w:shd w:val="clear" w:color="auto" w:fill="auto"/>
            <w:vAlign w:val="center"/>
          </w:tcPr>
          <w:p w:rsidR="001D3D4E" w:rsidRPr="00F32E0D" w:rsidRDefault="001D3D4E" w:rsidP="00C0103D">
            <w:pPr>
              <w:suppressAutoHyphens w:val="0"/>
              <w:ind w:left="-108"/>
              <w:jc w:val="center"/>
              <w:rPr>
                <w:color w:val="000000"/>
                <w:kern w:val="0"/>
                <w:sz w:val="18"/>
                <w:szCs w:val="18"/>
                <w:lang w:eastAsia="ru-RU"/>
              </w:rPr>
            </w:pPr>
            <w:r w:rsidRPr="00F32E0D">
              <w:rPr>
                <w:rFonts w:eastAsia="Calibri"/>
                <w:sz w:val="18"/>
                <w:szCs w:val="18"/>
              </w:rPr>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5"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7"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7"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4"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r>
      <w:tr w:rsidR="001D3D4E" w:rsidRPr="00F32E0D" w:rsidTr="009F7D8B">
        <w:trPr>
          <w:trHeight w:val="310"/>
        </w:trPr>
        <w:tc>
          <w:tcPr>
            <w:tcW w:w="1844" w:type="dxa"/>
            <w:vMerge/>
          </w:tcPr>
          <w:p w:rsidR="001D3D4E" w:rsidRPr="00F32E0D" w:rsidRDefault="001D3D4E" w:rsidP="00420061">
            <w:pPr>
              <w:snapToGrid w:val="0"/>
              <w:rPr>
                <w:sz w:val="18"/>
                <w:szCs w:val="18"/>
              </w:rPr>
            </w:pPr>
          </w:p>
        </w:tc>
        <w:tc>
          <w:tcPr>
            <w:tcW w:w="567" w:type="dxa"/>
          </w:tcPr>
          <w:p w:rsidR="001D3D4E" w:rsidRPr="00F32E0D" w:rsidRDefault="001D3D4E" w:rsidP="00420061">
            <w:pPr>
              <w:jc w:val="center"/>
              <w:rPr>
                <w:sz w:val="18"/>
                <w:szCs w:val="18"/>
              </w:rPr>
            </w:pPr>
            <w:r w:rsidRPr="00F32E0D">
              <w:rPr>
                <w:sz w:val="18"/>
                <w:szCs w:val="18"/>
              </w:rPr>
              <w:t>3</w:t>
            </w:r>
          </w:p>
        </w:tc>
        <w:tc>
          <w:tcPr>
            <w:tcW w:w="3544" w:type="dxa"/>
          </w:tcPr>
          <w:p w:rsidR="001D3D4E" w:rsidRPr="00F32E0D" w:rsidRDefault="001D3D4E" w:rsidP="00420061">
            <w:pPr>
              <w:pStyle w:val="1"/>
              <w:tabs>
                <w:tab w:val="clear" w:pos="0"/>
              </w:tabs>
              <w:ind w:left="33" w:hanging="33"/>
              <w:jc w:val="both"/>
              <w:rPr>
                <w:b w:val="0"/>
                <w:sz w:val="18"/>
                <w:szCs w:val="18"/>
              </w:rPr>
            </w:pPr>
            <w:r w:rsidRPr="00F32E0D">
              <w:rPr>
                <w:b w:val="0"/>
                <w:sz w:val="18"/>
                <w:szCs w:val="18"/>
              </w:rPr>
              <w:t xml:space="preserve">Трибуна металлическая сборно-разборная. Габаритные размеры, мм: длина трибуны- </w:t>
            </w:r>
            <w:r w:rsidRPr="00F32E0D">
              <w:rPr>
                <w:b w:val="0"/>
                <w:sz w:val="18"/>
                <w:szCs w:val="18"/>
              </w:rPr>
              <w:lastRenderedPageBreak/>
              <w:t xml:space="preserve">31100;  глубина трибуны- 5065; высота (с ограждениями)-3 200 (неизменяемые значения); Количество рядов не менее 6. Количество посадочных мест не менее 280. Глубина ряда не менее 900 мм. Расстояние между центрами соседних кресел не менее 475 мм. Длина одного сектора в плане (не менее 4-х  посадочных места в ряду) не менее 1900 мм. Ширина лестничного прохода не менее 1100 мм. Ширина прохода между рядами не менее 500 мм. Перепад по высоте между рядами не менее 400 мм. Высота ступеней не менее 200 мм. Высота боковых и задних ограждений не менее 1200 мм. </w:t>
            </w:r>
          </w:p>
          <w:p w:rsidR="001D3D4E" w:rsidRPr="00F32E0D" w:rsidRDefault="001D3D4E" w:rsidP="00420061">
            <w:pPr>
              <w:tabs>
                <w:tab w:val="left" w:pos="0"/>
                <w:tab w:val="left" w:pos="1134"/>
              </w:tabs>
              <w:rPr>
                <w:sz w:val="18"/>
                <w:szCs w:val="18"/>
              </w:rPr>
            </w:pPr>
            <w:r w:rsidRPr="00F32E0D">
              <w:rPr>
                <w:sz w:val="18"/>
                <w:szCs w:val="18"/>
              </w:rPr>
              <w:t>Ограждения выполнены в форме металлических перил с горизонтальными перемычками из труб с толщиной стенки не менее 1,5 и не более 2 мм.</w:t>
            </w:r>
          </w:p>
          <w:p w:rsidR="001D3D4E" w:rsidRPr="00F32E0D" w:rsidRDefault="001D3D4E" w:rsidP="00420061">
            <w:pPr>
              <w:pStyle w:val="1"/>
              <w:jc w:val="both"/>
              <w:rPr>
                <w:b w:val="0"/>
                <w:sz w:val="18"/>
                <w:szCs w:val="18"/>
              </w:rPr>
            </w:pPr>
            <w:r w:rsidRPr="00F32E0D">
              <w:rPr>
                <w:b w:val="0"/>
                <w:sz w:val="18"/>
                <w:szCs w:val="18"/>
              </w:rPr>
              <w:t xml:space="preserve">Настил проходов и ступеней – фанера влагостойкая с противоскользящим покрытием, толщина фанеры не менее 17 мм. Обшивка – фанера влагостойкая ламинированная толщиной не менее 9 мм. </w:t>
            </w:r>
          </w:p>
          <w:p w:rsidR="001D3D4E" w:rsidRPr="00F32E0D" w:rsidRDefault="001D3D4E" w:rsidP="00420061">
            <w:pPr>
              <w:pStyle w:val="1"/>
              <w:jc w:val="both"/>
              <w:rPr>
                <w:b w:val="0"/>
                <w:sz w:val="18"/>
                <w:szCs w:val="18"/>
              </w:rPr>
            </w:pPr>
            <w:r w:rsidRPr="00F32E0D">
              <w:rPr>
                <w:b w:val="0"/>
                <w:sz w:val="18"/>
                <w:szCs w:val="18"/>
              </w:rPr>
              <w:t xml:space="preserve">Тип сидений – индивидуальные пластмассовые со спинкой, антивандальные, 4 точки крепления сверху, фактура поверхности сиденья – глянец.  Тип сидений – индивидуальные пластмассовые со спинкой, антивандальные, 4 точки крепления сверху, фактура поверхности сиденья – глянец.  Размеры сидения, мм: ширина- 430; высота- 340; глубина- 400. (неизменяемые значения) </w:t>
            </w:r>
          </w:p>
          <w:p w:rsidR="001D3D4E" w:rsidRPr="00F32E0D" w:rsidRDefault="001D3D4E" w:rsidP="00420061">
            <w:pPr>
              <w:rPr>
                <w:sz w:val="18"/>
                <w:szCs w:val="18"/>
              </w:rPr>
            </w:pPr>
            <w:r w:rsidRPr="00F32E0D">
              <w:rPr>
                <w:sz w:val="18"/>
                <w:szCs w:val="18"/>
              </w:rPr>
              <w:t>В соответствии с ГОСТ 8645-68 и ГОСТ 8639-82. ГОСТ 10704-91, ГОСТ 19903-74</w:t>
            </w:r>
          </w:p>
        </w:tc>
        <w:tc>
          <w:tcPr>
            <w:tcW w:w="1275" w:type="dxa"/>
            <w:shd w:val="clear" w:color="auto" w:fill="auto"/>
            <w:vAlign w:val="center"/>
          </w:tcPr>
          <w:p w:rsidR="001D3D4E" w:rsidRPr="00F32E0D" w:rsidRDefault="001D3D4E" w:rsidP="00C0103D">
            <w:pPr>
              <w:suppressAutoHyphens w:val="0"/>
              <w:ind w:left="-108"/>
              <w:jc w:val="center"/>
              <w:rPr>
                <w:color w:val="000000"/>
                <w:kern w:val="0"/>
                <w:sz w:val="18"/>
                <w:szCs w:val="18"/>
                <w:lang w:eastAsia="ru-RU"/>
              </w:rPr>
            </w:pPr>
            <w:r w:rsidRPr="00F32E0D">
              <w:rPr>
                <w:rFonts w:eastAsia="Calibri"/>
                <w:sz w:val="18"/>
                <w:szCs w:val="18"/>
              </w:rPr>
              <w:lastRenderedPageBreak/>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5"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7"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7"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4"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r>
      <w:tr w:rsidR="001D3D4E" w:rsidRPr="00F32E0D" w:rsidTr="009F7D8B">
        <w:trPr>
          <w:trHeight w:val="623"/>
        </w:trPr>
        <w:tc>
          <w:tcPr>
            <w:tcW w:w="1844" w:type="dxa"/>
            <w:vMerge/>
          </w:tcPr>
          <w:p w:rsidR="001D3D4E" w:rsidRPr="00F32E0D" w:rsidRDefault="001D3D4E" w:rsidP="00420061">
            <w:pPr>
              <w:snapToGrid w:val="0"/>
              <w:rPr>
                <w:sz w:val="18"/>
                <w:szCs w:val="18"/>
              </w:rPr>
            </w:pPr>
          </w:p>
        </w:tc>
        <w:tc>
          <w:tcPr>
            <w:tcW w:w="567" w:type="dxa"/>
          </w:tcPr>
          <w:p w:rsidR="001D3D4E" w:rsidRPr="00F32E0D" w:rsidRDefault="001D3D4E" w:rsidP="00420061">
            <w:pPr>
              <w:jc w:val="center"/>
              <w:rPr>
                <w:sz w:val="18"/>
                <w:szCs w:val="18"/>
              </w:rPr>
            </w:pPr>
            <w:r w:rsidRPr="00F32E0D">
              <w:rPr>
                <w:sz w:val="18"/>
                <w:szCs w:val="18"/>
              </w:rPr>
              <w:t>4</w:t>
            </w:r>
          </w:p>
        </w:tc>
        <w:tc>
          <w:tcPr>
            <w:tcW w:w="3544" w:type="dxa"/>
          </w:tcPr>
          <w:p w:rsidR="001D3D4E" w:rsidRPr="00F32E0D" w:rsidRDefault="001D3D4E" w:rsidP="00420061">
            <w:pPr>
              <w:pStyle w:val="1"/>
              <w:numPr>
                <w:ilvl w:val="0"/>
                <w:numId w:val="0"/>
              </w:numPr>
              <w:tabs>
                <w:tab w:val="left" w:pos="-534"/>
              </w:tabs>
              <w:ind w:left="33"/>
              <w:jc w:val="both"/>
              <w:rPr>
                <w:b w:val="0"/>
                <w:sz w:val="18"/>
                <w:szCs w:val="18"/>
              </w:rPr>
            </w:pPr>
            <w:r w:rsidRPr="00F32E0D">
              <w:rPr>
                <w:b w:val="0"/>
                <w:sz w:val="18"/>
                <w:szCs w:val="18"/>
              </w:rPr>
              <w:t xml:space="preserve">Трибуна металлическая сборно-разборная. Габаритные размеры, мм: длина трибуны- 42500; глубина трибуны- 7508; высота (с ограждениями)- 4600 (неизменяемые значения); Количество рядов не менее 6. Количество посадочных мест не менее 480. Глубина ряда не менее 900мм. Подъем перед первым рядом настила пола не менее 1400 мм. Расстояние между центрами соседних кресел не менее 475 мм. Длина одного сектора в плане (не менее 4-х посадочных места в ряду) не менее 1900 мм. Ширина лестничного </w:t>
            </w:r>
            <w:r w:rsidRPr="00F32E0D">
              <w:rPr>
                <w:b w:val="0"/>
                <w:sz w:val="18"/>
                <w:szCs w:val="18"/>
              </w:rPr>
              <w:lastRenderedPageBreak/>
              <w:t>прохода не менее 1100 мм. Ширина прохода между рядами не менее 500 мм. Перепад по высоте между рядами не менее  400 мм. Высота ступеней не менее 200 мм. Высота боковых и задних ограждений не менее 1200 мм. Высота передних ограждений не менее 900 мм.</w:t>
            </w:r>
          </w:p>
          <w:p w:rsidR="001D3D4E" w:rsidRPr="00F32E0D" w:rsidRDefault="001D3D4E" w:rsidP="00420061">
            <w:pPr>
              <w:tabs>
                <w:tab w:val="left" w:pos="-534"/>
                <w:tab w:val="left" w:pos="0"/>
                <w:tab w:val="left" w:pos="1134"/>
              </w:tabs>
              <w:ind w:firstLine="33"/>
              <w:rPr>
                <w:sz w:val="18"/>
                <w:szCs w:val="18"/>
              </w:rPr>
            </w:pPr>
            <w:r w:rsidRPr="00F32E0D">
              <w:rPr>
                <w:sz w:val="18"/>
                <w:szCs w:val="18"/>
              </w:rPr>
              <w:t>Ограждения выполнены в форме металлических перил с горизонтальными перемычками из труб с толщиной стенки не менее 1,5 и не более 2 мм.</w:t>
            </w:r>
          </w:p>
          <w:p w:rsidR="001D3D4E" w:rsidRPr="00F32E0D" w:rsidRDefault="001D3D4E" w:rsidP="00420061">
            <w:pPr>
              <w:pStyle w:val="1"/>
              <w:numPr>
                <w:ilvl w:val="0"/>
                <w:numId w:val="0"/>
              </w:numPr>
              <w:tabs>
                <w:tab w:val="left" w:pos="-534"/>
              </w:tabs>
              <w:ind w:left="33"/>
              <w:jc w:val="both"/>
              <w:rPr>
                <w:b w:val="0"/>
                <w:sz w:val="18"/>
                <w:szCs w:val="18"/>
              </w:rPr>
            </w:pPr>
            <w:r w:rsidRPr="00F32E0D">
              <w:rPr>
                <w:b w:val="0"/>
                <w:sz w:val="18"/>
                <w:szCs w:val="18"/>
              </w:rPr>
              <w:t xml:space="preserve">Настил проходов и ступеней – фанера влагостойкая с противоскользящим покрытием, толщина фанеры не менее 17 мм. Обшивка – фанера влагостойкая ламинированная толщиной не менее 9 мм. </w:t>
            </w:r>
          </w:p>
          <w:p w:rsidR="001D3D4E" w:rsidRPr="00F32E0D" w:rsidRDefault="001D3D4E" w:rsidP="00420061">
            <w:pPr>
              <w:pStyle w:val="1"/>
              <w:numPr>
                <w:ilvl w:val="0"/>
                <w:numId w:val="0"/>
              </w:numPr>
              <w:tabs>
                <w:tab w:val="left" w:pos="33"/>
              </w:tabs>
              <w:ind w:left="33"/>
              <w:jc w:val="both"/>
              <w:rPr>
                <w:b w:val="0"/>
                <w:sz w:val="18"/>
                <w:szCs w:val="18"/>
              </w:rPr>
            </w:pPr>
            <w:r w:rsidRPr="00F32E0D">
              <w:rPr>
                <w:b w:val="0"/>
                <w:sz w:val="18"/>
                <w:szCs w:val="18"/>
              </w:rPr>
              <w:t xml:space="preserve">Тип сидений – индивидуальные пластмассовые со спинкой, антивандальные, 4 точки крепления сверху, фактура поверхности сиденья – глянец. Размеры сидения, мм: ширина- 430; высота- 340; глубина- 400. (неизменяемые значения) </w:t>
            </w:r>
          </w:p>
          <w:p w:rsidR="001D3D4E" w:rsidRPr="00F32E0D" w:rsidRDefault="001D3D4E" w:rsidP="00420061">
            <w:pPr>
              <w:tabs>
                <w:tab w:val="left" w:pos="-534"/>
                <w:tab w:val="num" w:pos="34"/>
              </w:tabs>
              <w:autoSpaceDE w:val="0"/>
              <w:autoSpaceDN w:val="0"/>
              <w:adjustRightInd w:val="0"/>
              <w:ind w:firstLine="33"/>
              <w:rPr>
                <w:sz w:val="18"/>
                <w:szCs w:val="18"/>
              </w:rPr>
            </w:pPr>
            <w:r w:rsidRPr="00F32E0D">
              <w:rPr>
                <w:sz w:val="18"/>
                <w:szCs w:val="18"/>
              </w:rPr>
              <w:t>В соответствии с ГОСТ 8645-68 и ГОСТ 8639-82. ГОСТ 10704-91, ГОСТ 19903-74</w:t>
            </w:r>
          </w:p>
        </w:tc>
        <w:tc>
          <w:tcPr>
            <w:tcW w:w="1275" w:type="dxa"/>
            <w:shd w:val="clear" w:color="auto" w:fill="auto"/>
            <w:vAlign w:val="center"/>
          </w:tcPr>
          <w:p w:rsidR="001D3D4E" w:rsidRPr="00F32E0D" w:rsidRDefault="001D3D4E" w:rsidP="00C0103D">
            <w:pPr>
              <w:suppressAutoHyphens w:val="0"/>
              <w:ind w:left="-108"/>
              <w:jc w:val="center"/>
              <w:rPr>
                <w:color w:val="000000"/>
                <w:kern w:val="0"/>
                <w:sz w:val="18"/>
                <w:szCs w:val="18"/>
                <w:lang w:eastAsia="ru-RU"/>
              </w:rPr>
            </w:pPr>
            <w:r w:rsidRPr="00F32E0D">
              <w:rPr>
                <w:rFonts w:eastAsia="Calibri"/>
                <w:sz w:val="18"/>
                <w:szCs w:val="18"/>
              </w:rPr>
              <w:lastRenderedPageBreak/>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5"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7"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7"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4"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r>
      <w:tr w:rsidR="001D3D4E" w:rsidRPr="00F32E0D" w:rsidTr="009F7D8B">
        <w:trPr>
          <w:trHeight w:val="841"/>
        </w:trPr>
        <w:tc>
          <w:tcPr>
            <w:tcW w:w="1844" w:type="dxa"/>
            <w:vMerge/>
          </w:tcPr>
          <w:p w:rsidR="001D3D4E" w:rsidRPr="00F32E0D" w:rsidRDefault="001D3D4E" w:rsidP="00420061">
            <w:pPr>
              <w:snapToGrid w:val="0"/>
              <w:rPr>
                <w:sz w:val="18"/>
                <w:szCs w:val="18"/>
              </w:rPr>
            </w:pPr>
          </w:p>
        </w:tc>
        <w:tc>
          <w:tcPr>
            <w:tcW w:w="567" w:type="dxa"/>
          </w:tcPr>
          <w:p w:rsidR="001D3D4E" w:rsidRPr="00F32E0D" w:rsidRDefault="001D3D4E" w:rsidP="00420061">
            <w:pPr>
              <w:jc w:val="center"/>
              <w:rPr>
                <w:sz w:val="18"/>
                <w:szCs w:val="18"/>
              </w:rPr>
            </w:pPr>
            <w:r w:rsidRPr="00F32E0D">
              <w:rPr>
                <w:sz w:val="18"/>
                <w:szCs w:val="18"/>
              </w:rPr>
              <w:t>5</w:t>
            </w:r>
          </w:p>
        </w:tc>
        <w:tc>
          <w:tcPr>
            <w:tcW w:w="3544" w:type="dxa"/>
          </w:tcPr>
          <w:p w:rsidR="001D3D4E" w:rsidRPr="00F32E0D" w:rsidRDefault="001D3D4E" w:rsidP="00420061">
            <w:pPr>
              <w:pStyle w:val="1"/>
              <w:tabs>
                <w:tab w:val="clear" w:pos="0"/>
                <w:tab w:val="left" w:pos="-108"/>
              </w:tabs>
              <w:jc w:val="both"/>
              <w:rPr>
                <w:b w:val="0"/>
                <w:sz w:val="18"/>
                <w:szCs w:val="18"/>
              </w:rPr>
            </w:pPr>
            <w:r w:rsidRPr="00F32E0D">
              <w:rPr>
                <w:b w:val="0"/>
                <w:sz w:val="18"/>
                <w:szCs w:val="18"/>
              </w:rPr>
              <w:t xml:space="preserve">Трибуна металлическая сборно-разборная. Габаритные размеры, мм: длина трибуны- 42500; глубина трибуны-  6589; высота (с ограждениями)- 3800 (неизменяемые значения). Количество рядов не менее 7. Количество посадочных мест не менее 544; Глубина ряда не менее 900 мм. Подъем перед первым рядом настила пола не менее 200 мм. Расстояние между центрами соседних кресел не менее 475 мм. Длина одного сектора в плане (не менее 4-х посадочных места в ряду) не менее 1900 мм. Ширина лестничного прохода не менее 1100 мм. Ширина прохода между рядами не менее 500 мм. Перепад по высоте между рядами не менее 400 мм. Высота ступеней не менее 200 мм. Высота боковых и задних ограждений не менее 1200 мм. Высота передних ограждений не менее 900 мм. </w:t>
            </w:r>
          </w:p>
          <w:p w:rsidR="001D3D4E" w:rsidRPr="00F32E0D" w:rsidRDefault="001D3D4E" w:rsidP="00420061">
            <w:pPr>
              <w:tabs>
                <w:tab w:val="left" w:pos="-534"/>
                <w:tab w:val="left" w:pos="0"/>
                <w:tab w:val="left" w:pos="1134"/>
              </w:tabs>
              <w:ind w:firstLine="33"/>
              <w:rPr>
                <w:sz w:val="18"/>
                <w:szCs w:val="18"/>
              </w:rPr>
            </w:pPr>
            <w:r w:rsidRPr="00F32E0D">
              <w:rPr>
                <w:sz w:val="18"/>
                <w:szCs w:val="18"/>
              </w:rPr>
              <w:t>Ограждения выполнены в форме металлических перил с горизонтальными перемычками из труб с толщиной стенки не менее 1,5 и не более 2 мм.</w:t>
            </w:r>
          </w:p>
          <w:p w:rsidR="001D3D4E" w:rsidRPr="00F32E0D" w:rsidRDefault="001D3D4E" w:rsidP="00420061">
            <w:pPr>
              <w:pStyle w:val="1"/>
              <w:numPr>
                <w:ilvl w:val="0"/>
                <w:numId w:val="0"/>
              </w:numPr>
              <w:tabs>
                <w:tab w:val="left" w:pos="175"/>
              </w:tabs>
              <w:ind w:left="33"/>
              <w:jc w:val="both"/>
              <w:rPr>
                <w:b w:val="0"/>
                <w:sz w:val="18"/>
                <w:szCs w:val="18"/>
              </w:rPr>
            </w:pPr>
            <w:r w:rsidRPr="00F32E0D">
              <w:rPr>
                <w:b w:val="0"/>
                <w:sz w:val="18"/>
                <w:szCs w:val="18"/>
              </w:rPr>
              <w:t xml:space="preserve">Настил проходов и ступеней – фанера </w:t>
            </w:r>
            <w:r w:rsidRPr="00F32E0D">
              <w:rPr>
                <w:b w:val="0"/>
                <w:sz w:val="18"/>
                <w:szCs w:val="18"/>
              </w:rPr>
              <w:lastRenderedPageBreak/>
              <w:t xml:space="preserve">влагостойкая с противоскользящим покрытием, толщина фанеры не менее 17 мм. Обшивка – фанера влагостойкая ламинированная толщиной не менее 9 мм. </w:t>
            </w:r>
          </w:p>
          <w:p w:rsidR="001D3D4E" w:rsidRPr="00F32E0D" w:rsidRDefault="001D3D4E" w:rsidP="00420061">
            <w:pPr>
              <w:pStyle w:val="1"/>
              <w:ind w:hanging="534"/>
              <w:jc w:val="both"/>
              <w:rPr>
                <w:b w:val="0"/>
                <w:sz w:val="18"/>
                <w:szCs w:val="18"/>
              </w:rPr>
            </w:pPr>
            <w:r w:rsidRPr="00F32E0D">
              <w:rPr>
                <w:b w:val="0"/>
                <w:sz w:val="18"/>
                <w:szCs w:val="18"/>
              </w:rPr>
              <w:t xml:space="preserve">Тип сидений – индивидуальные пластмассовые со спинкой, антивандальные,  4 точки крепления сверху, фактура поверхности сиденья – глянец.  Размеры сидения, мм: ширина- 430; высота- 340; глубина- 400. (неизменяемые значения) </w:t>
            </w:r>
          </w:p>
          <w:p w:rsidR="001D3D4E" w:rsidRPr="00F32E0D" w:rsidRDefault="001D3D4E" w:rsidP="00420061">
            <w:pPr>
              <w:tabs>
                <w:tab w:val="left" w:pos="-534"/>
                <w:tab w:val="num" w:pos="34"/>
              </w:tabs>
              <w:autoSpaceDE w:val="0"/>
              <w:autoSpaceDN w:val="0"/>
              <w:adjustRightInd w:val="0"/>
              <w:ind w:firstLine="33"/>
              <w:rPr>
                <w:sz w:val="18"/>
                <w:szCs w:val="18"/>
              </w:rPr>
            </w:pPr>
            <w:r w:rsidRPr="00F32E0D">
              <w:rPr>
                <w:sz w:val="18"/>
                <w:szCs w:val="18"/>
              </w:rPr>
              <w:t>В соответствии с ГОСТ 8645-68 и ГОСТ 8639-82. ГОСТ 10704-91, ГОСТ 19903-74</w:t>
            </w:r>
          </w:p>
        </w:tc>
        <w:tc>
          <w:tcPr>
            <w:tcW w:w="1275" w:type="dxa"/>
            <w:shd w:val="clear" w:color="auto" w:fill="auto"/>
            <w:vAlign w:val="center"/>
          </w:tcPr>
          <w:p w:rsidR="001D3D4E" w:rsidRPr="00F32E0D" w:rsidRDefault="001D3D4E" w:rsidP="00C0103D">
            <w:pPr>
              <w:suppressAutoHyphens w:val="0"/>
              <w:ind w:left="-108"/>
              <w:jc w:val="center"/>
              <w:rPr>
                <w:color w:val="000000"/>
                <w:kern w:val="0"/>
                <w:sz w:val="18"/>
                <w:szCs w:val="18"/>
                <w:lang w:eastAsia="ru-RU"/>
              </w:rPr>
            </w:pPr>
            <w:r w:rsidRPr="00F32E0D">
              <w:rPr>
                <w:rFonts w:eastAsia="Calibri"/>
                <w:sz w:val="18"/>
                <w:szCs w:val="18"/>
              </w:rPr>
              <w:lastRenderedPageBreak/>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5"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7"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7"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4"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r>
      <w:tr w:rsidR="001D3D4E" w:rsidRPr="00F32E0D" w:rsidTr="009F7D8B">
        <w:trPr>
          <w:trHeight w:val="1867"/>
        </w:trPr>
        <w:tc>
          <w:tcPr>
            <w:tcW w:w="1844" w:type="dxa"/>
            <w:vMerge/>
          </w:tcPr>
          <w:p w:rsidR="001D3D4E" w:rsidRPr="00F32E0D" w:rsidRDefault="001D3D4E" w:rsidP="00420061">
            <w:pPr>
              <w:snapToGrid w:val="0"/>
              <w:rPr>
                <w:sz w:val="18"/>
                <w:szCs w:val="18"/>
              </w:rPr>
            </w:pPr>
          </w:p>
        </w:tc>
        <w:tc>
          <w:tcPr>
            <w:tcW w:w="567" w:type="dxa"/>
          </w:tcPr>
          <w:p w:rsidR="001D3D4E" w:rsidRPr="00F32E0D" w:rsidRDefault="001D3D4E" w:rsidP="00420061">
            <w:pPr>
              <w:jc w:val="center"/>
              <w:rPr>
                <w:sz w:val="18"/>
                <w:szCs w:val="18"/>
              </w:rPr>
            </w:pPr>
            <w:r w:rsidRPr="00F32E0D">
              <w:rPr>
                <w:sz w:val="18"/>
                <w:szCs w:val="18"/>
              </w:rPr>
              <w:t>6</w:t>
            </w:r>
          </w:p>
        </w:tc>
        <w:tc>
          <w:tcPr>
            <w:tcW w:w="3544" w:type="dxa"/>
          </w:tcPr>
          <w:p w:rsidR="001D3D4E" w:rsidRPr="00F32E0D" w:rsidRDefault="001D3D4E" w:rsidP="00420061">
            <w:pPr>
              <w:pStyle w:val="1"/>
              <w:ind w:left="33" w:hanging="33"/>
              <w:jc w:val="both"/>
              <w:rPr>
                <w:b w:val="0"/>
                <w:sz w:val="18"/>
                <w:szCs w:val="18"/>
              </w:rPr>
            </w:pPr>
            <w:r w:rsidRPr="00F32E0D">
              <w:rPr>
                <w:b w:val="0"/>
                <w:sz w:val="18"/>
                <w:szCs w:val="18"/>
              </w:rPr>
              <w:t xml:space="preserve">Трибуна металлическая сборно-разборная. Габаритные размеры, мм: длина трибуны- 4 940; глубина трибуны- 3480; высота (с ограждениями)-    2000 (неизменяемые значения). Количество рядов не менее 3. Количество посадочных мест не менее 18. Глубина ряда не менее 1300 мм. Расстояние между центрами соседних кресел не менее  600 мм. Длина одного сектора в плане (не менее 3 посадочных места в ряду) не менее 1900 мм. Ширина лестничного прохода не менее 1100 мм. Ширина прохода между рядами не менее 500 мм. Перепад по высоте между рядами не менее 400 мм. Высота ступеней не менее 200 мм. Высота боковых и задних ограждений не менее 1200 мм. </w:t>
            </w:r>
          </w:p>
          <w:p w:rsidR="001D3D4E" w:rsidRPr="00F32E0D" w:rsidRDefault="001D3D4E" w:rsidP="00420061">
            <w:pPr>
              <w:tabs>
                <w:tab w:val="left" w:pos="33"/>
                <w:tab w:val="left" w:pos="1134"/>
              </w:tabs>
              <w:ind w:left="33"/>
              <w:rPr>
                <w:sz w:val="18"/>
                <w:szCs w:val="18"/>
              </w:rPr>
            </w:pPr>
            <w:r w:rsidRPr="00F32E0D">
              <w:rPr>
                <w:sz w:val="18"/>
                <w:szCs w:val="18"/>
              </w:rPr>
              <w:t>Ограждения выполнены в форме металлических перил с горизонтальными перемычками из труб с толщиной стенки не менее 1,5 и не более 2 мм.</w:t>
            </w:r>
          </w:p>
          <w:p w:rsidR="001D3D4E" w:rsidRPr="00F32E0D" w:rsidRDefault="001D3D4E" w:rsidP="00420061">
            <w:pPr>
              <w:pStyle w:val="1"/>
              <w:ind w:left="33" w:hanging="283"/>
              <w:jc w:val="both"/>
              <w:rPr>
                <w:b w:val="0"/>
                <w:sz w:val="18"/>
                <w:szCs w:val="18"/>
              </w:rPr>
            </w:pPr>
            <w:r w:rsidRPr="00F32E0D">
              <w:rPr>
                <w:b w:val="0"/>
                <w:sz w:val="18"/>
                <w:szCs w:val="18"/>
              </w:rPr>
              <w:t xml:space="preserve">Настил проходов и ступеней – фанера влагостойкая с противоскользящим покрытием, толщина фанеры не менее 17 мм. Обшивка – фанера влагостойкая ламинированная толщиной не менее 9 мм. </w:t>
            </w:r>
          </w:p>
          <w:p w:rsidR="001D3D4E" w:rsidRPr="00F32E0D" w:rsidRDefault="001D3D4E" w:rsidP="00420061">
            <w:pPr>
              <w:tabs>
                <w:tab w:val="left" w:pos="0"/>
                <w:tab w:val="num" w:pos="34"/>
              </w:tabs>
              <w:autoSpaceDE w:val="0"/>
              <w:autoSpaceDN w:val="0"/>
              <w:adjustRightInd w:val="0"/>
              <w:ind w:left="33"/>
              <w:rPr>
                <w:sz w:val="18"/>
                <w:szCs w:val="18"/>
              </w:rPr>
            </w:pPr>
            <w:r w:rsidRPr="00F32E0D">
              <w:rPr>
                <w:sz w:val="18"/>
                <w:szCs w:val="18"/>
              </w:rPr>
              <w:t>В соответствии с ГОСТ 8645-68 и ГОСТ 8639-82. ГОСТ 10704-91, ГОСТ 19903-74</w:t>
            </w:r>
          </w:p>
        </w:tc>
        <w:tc>
          <w:tcPr>
            <w:tcW w:w="1275" w:type="dxa"/>
            <w:shd w:val="clear" w:color="auto" w:fill="auto"/>
            <w:vAlign w:val="center"/>
          </w:tcPr>
          <w:p w:rsidR="001D3D4E" w:rsidRPr="00F32E0D" w:rsidRDefault="001D3D4E" w:rsidP="00C0103D">
            <w:pPr>
              <w:suppressAutoHyphens w:val="0"/>
              <w:ind w:left="-108"/>
              <w:jc w:val="center"/>
              <w:rPr>
                <w:color w:val="000000"/>
                <w:kern w:val="0"/>
                <w:sz w:val="18"/>
                <w:szCs w:val="18"/>
                <w:lang w:eastAsia="ru-RU"/>
              </w:rPr>
            </w:pPr>
            <w:r w:rsidRPr="00F32E0D">
              <w:rPr>
                <w:rFonts w:eastAsia="Calibri"/>
                <w:sz w:val="18"/>
                <w:szCs w:val="18"/>
              </w:rPr>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5"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7"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7"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4"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r>
      <w:tr w:rsidR="001D3D4E" w:rsidRPr="00F32E0D" w:rsidTr="009F7D8B">
        <w:trPr>
          <w:trHeight w:val="1867"/>
        </w:trPr>
        <w:tc>
          <w:tcPr>
            <w:tcW w:w="1844" w:type="dxa"/>
          </w:tcPr>
          <w:p w:rsidR="001D3D4E" w:rsidRPr="00F32E0D" w:rsidRDefault="001D3D4E" w:rsidP="00420061">
            <w:pPr>
              <w:snapToGrid w:val="0"/>
              <w:rPr>
                <w:sz w:val="18"/>
                <w:szCs w:val="18"/>
              </w:rPr>
            </w:pPr>
          </w:p>
        </w:tc>
        <w:tc>
          <w:tcPr>
            <w:tcW w:w="567" w:type="dxa"/>
          </w:tcPr>
          <w:p w:rsidR="001D3D4E" w:rsidRPr="00F32E0D" w:rsidRDefault="001D3D4E" w:rsidP="00420061">
            <w:pPr>
              <w:jc w:val="center"/>
              <w:rPr>
                <w:sz w:val="18"/>
                <w:szCs w:val="18"/>
              </w:rPr>
            </w:pPr>
            <w:r>
              <w:rPr>
                <w:sz w:val="18"/>
                <w:szCs w:val="18"/>
              </w:rPr>
              <w:t>7</w:t>
            </w:r>
          </w:p>
        </w:tc>
        <w:tc>
          <w:tcPr>
            <w:tcW w:w="3544" w:type="dxa"/>
          </w:tcPr>
          <w:p w:rsidR="001D3D4E" w:rsidRPr="00F32E0D" w:rsidRDefault="001D3D4E" w:rsidP="00420061">
            <w:pPr>
              <w:tabs>
                <w:tab w:val="left" w:pos="0"/>
                <w:tab w:val="left" w:pos="1134"/>
              </w:tabs>
              <w:ind w:left="33"/>
              <w:rPr>
                <w:sz w:val="18"/>
                <w:szCs w:val="18"/>
              </w:rPr>
            </w:pPr>
            <w:r w:rsidRPr="00F32E0D">
              <w:rPr>
                <w:sz w:val="18"/>
                <w:szCs w:val="18"/>
              </w:rPr>
              <w:t xml:space="preserve">Кресло индивидуальное для трибун (по пункту №6) металлических сборно-разборных на количество рядов не менее 3 и количество посадочных мест не менее 18. </w:t>
            </w:r>
          </w:p>
          <w:p w:rsidR="001D3D4E" w:rsidRPr="00F32E0D" w:rsidRDefault="001D3D4E" w:rsidP="00420061">
            <w:pPr>
              <w:tabs>
                <w:tab w:val="left" w:pos="0"/>
                <w:tab w:val="left" w:pos="1134"/>
              </w:tabs>
              <w:ind w:left="33"/>
              <w:rPr>
                <w:sz w:val="18"/>
                <w:szCs w:val="18"/>
              </w:rPr>
            </w:pPr>
            <w:r w:rsidRPr="00F32E0D">
              <w:rPr>
                <w:sz w:val="18"/>
                <w:szCs w:val="18"/>
              </w:rPr>
              <w:t xml:space="preserve">Тип кресла –   </w:t>
            </w:r>
            <w:proofErr w:type="gramStart"/>
            <w:r w:rsidRPr="00F32E0D">
              <w:rPr>
                <w:sz w:val="18"/>
                <w:szCs w:val="18"/>
              </w:rPr>
              <w:t>мягкое</w:t>
            </w:r>
            <w:proofErr w:type="gramEnd"/>
            <w:r w:rsidRPr="00F32E0D">
              <w:rPr>
                <w:sz w:val="18"/>
                <w:szCs w:val="18"/>
              </w:rPr>
              <w:t xml:space="preserve"> с подлокотниками, с креплением к основанию, 4 точки крепления кресла. Вес кресла  мест не более 35 кг.  Размеры, </w:t>
            </w:r>
            <w:proofErr w:type="gramStart"/>
            <w:r w:rsidRPr="00F32E0D">
              <w:rPr>
                <w:sz w:val="18"/>
                <w:szCs w:val="18"/>
              </w:rPr>
              <w:t>мм</w:t>
            </w:r>
            <w:proofErr w:type="gramEnd"/>
            <w:r w:rsidRPr="00F32E0D">
              <w:rPr>
                <w:sz w:val="18"/>
                <w:szCs w:val="18"/>
              </w:rPr>
              <w:t xml:space="preserve">: длина- 800; ширина- 560; высота- 960. Размеры </w:t>
            </w:r>
            <w:r w:rsidRPr="00F32E0D">
              <w:rPr>
                <w:sz w:val="18"/>
                <w:szCs w:val="18"/>
              </w:rPr>
              <w:lastRenderedPageBreak/>
              <w:t xml:space="preserve">сидения, </w:t>
            </w:r>
            <w:proofErr w:type="gramStart"/>
            <w:r w:rsidRPr="00F32E0D">
              <w:rPr>
                <w:sz w:val="18"/>
                <w:szCs w:val="18"/>
              </w:rPr>
              <w:t>мм</w:t>
            </w:r>
            <w:proofErr w:type="gramEnd"/>
            <w:r w:rsidRPr="00F32E0D">
              <w:rPr>
                <w:sz w:val="18"/>
                <w:szCs w:val="18"/>
              </w:rPr>
              <w:t>: длина- 500; ширина- 460. Высота сидения от пола - 500. Ширина спинки сидения - 500 мм</w:t>
            </w:r>
            <w:proofErr w:type="gramStart"/>
            <w:r w:rsidRPr="00F32E0D">
              <w:rPr>
                <w:sz w:val="18"/>
                <w:szCs w:val="18"/>
              </w:rPr>
              <w:t>.</w:t>
            </w:r>
            <w:proofErr w:type="gramEnd"/>
            <w:r w:rsidRPr="00F32E0D">
              <w:rPr>
                <w:sz w:val="18"/>
                <w:szCs w:val="18"/>
              </w:rPr>
              <w:t xml:space="preserve"> (</w:t>
            </w:r>
            <w:proofErr w:type="gramStart"/>
            <w:r w:rsidRPr="00F32E0D">
              <w:rPr>
                <w:sz w:val="18"/>
                <w:szCs w:val="18"/>
              </w:rPr>
              <w:t>н</w:t>
            </w:r>
            <w:proofErr w:type="gramEnd"/>
            <w:r w:rsidRPr="00F32E0D">
              <w:rPr>
                <w:sz w:val="18"/>
                <w:szCs w:val="18"/>
              </w:rPr>
              <w:t xml:space="preserve">еизменяемые значения).  Материал металлоконструкций - металлическая профильная труба. Покрытие металлоконструкций - полимерно-порошковая эмаль. Цвет металлоконструкции - черный. Цвет обивки кресел - красный. Материал: спинка </w:t>
            </w:r>
            <w:proofErr w:type="gramStart"/>
            <w:r w:rsidRPr="00F32E0D">
              <w:rPr>
                <w:sz w:val="18"/>
                <w:szCs w:val="18"/>
              </w:rPr>
              <w:t>мягкие</w:t>
            </w:r>
            <w:proofErr w:type="gramEnd"/>
            <w:r w:rsidRPr="00F32E0D">
              <w:rPr>
                <w:sz w:val="18"/>
                <w:szCs w:val="18"/>
              </w:rPr>
              <w:t xml:space="preserve">  – </w:t>
            </w:r>
            <w:proofErr w:type="spellStart"/>
            <w:r w:rsidRPr="00F32E0D">
              <w:rPr>
                <w:sz w:val="18"/>
                <w:szCs w:val="18"/>
              </w:rPr>
              <w:t>пенополиуретан</w:t>
            </w:r>
            <w:proofErr w:type="spellEnd"/>
            <w:r w:rsidRPr="00F32E0D">
              <w:rPr>
                <w:sz w:val="18"/>
                <w:szCs w:val="18"/>
              </w:rPr>
              <w:t xml:space="preserve">, ткань </w:t>
            </w:r>
            <w:proofErr w:type="spellStart"/>
            <w:r w:rsidRPr="00F32E0D">
              <w:rPr>
                <w:sz w:val="18"/>
                <w:szCs w:val="18"/>
              </w:rPr>
              <w:t>микрофибро</w:t>
            </w:r>
            <w:proofErr w:type="spellEnd"/>
            <w:r w:rsidRPr="00F32E0D">
              <w:rPr>
                <w:sz w:val="18"/>
                <w:szCs w:val="18"/>
              </w:rPr>
              <w:t>.</w:t>
            </w:r>
          </w:p>
          <w:p w:rsidR="001D3D4E" w:rsidRPr="00F32E0D" w:rsidRDefault="001D3D4E" w:rsidP="00420061">
            <w:pPr>
              <w:pStyle w:val="1"/>
              <w:tabs>
                <w:tab w:val="clear" w:pos="0"/>
                <w:tab w:val="left" w:pos="33"/>
              </w:tabs>
              <w:ind w:left="33"/>
              <w:jc w:val="both"/>
              <w:rPr>
                <w:b w:val="0"/>
                <w:sz w:val="18"/>
                <w:szCs w:val="18"/>
              </w:rPr>
            </w:pPr>
            <w:r w:rsidRPr="00F32E0D">
              <w:rPr>
                <w:b w:val="0"/>
                <w:sz w:val="18"/>
                <w:szCs w:val="18"/>
              </w:rPr>
              <w:t xml:space="preserve"> Крепеж кресел к основанию в комплекте. Кресло соответствует эскизу (за исключением цвета обивки).  В соответствии с ГОСТ 16854-91</w:t>
            </w:r>
          </w:p>
          <w:p w:rsidR="001D3D4E" w:rsidRPr="00F32E0D" w:rsidRDefault="001D3D4E" w:rsidP="00420061">
            <w:pPr>
              <w:tabs>
                <w:tab w:val="num" w:pos="34"/>
              </w:tabs>
              <w:autoSpaceDE w:val="0"/>
              <w:autoSpaceDN w:val="0"/>
              <w:adjustRightInd w:val="0"/>
              <w:jc w:val="both"/>
              <w:rPr>
                <w:sz w:val="18"/>
                <w:szCs w:val="18"/>
              </w:rPr>
            </w:pPr>
          </w:p>
        </w:tc>
        <w:tc>
          <w:tcPr>
            <w:tcW w:w="1275" w:type="dxa"/>
            <w:shd w:val="clear" w:color="auto" w:fill="auto"/>
            <w:vAlign w:val="center"/>
          </w:tcPr>
          <w:p w:rsidR="001D3D4E" w:rsidRPr="00F32E0D" w:rsidRDefault="001D3D4E" w:rsidP="00C0103D">
            <w:pPr>
              <w:suppressAutoHyphens w:val="0"/>
              <w:ind w:left="-108"/>
              <w:jc w:val="center"/>
              <w:rPr>
                <w:color w:val="000000"/>
                <w:kern w:val="0"/>
                <w:sz w:val="18"/>
                <w:szCs w:val="18"/>
                <w:lang w:eastAsia="ru-RU"/>
              </w:rPr>
            </w:pPr>
            <w:r w:rsidRPr="00F32E0D">
              <w:rPr>
                <w:rFonts w:eastAsia="Calibri"/>
                <w:sz w:val="18"/>
                <w:szCs w:val="18"/>
              </w:rPr>
              <w:lastRenderedPageBreak/>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5"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7"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7"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4"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c>
          <w:tcPr>
            <w:tcW w:w="1276" w:type="dxa"/>
            <w:vAlign w:val="center"/>
          </w:tcPr>
          <w:p w:rsidR="001D3D4E" w:rsidRPr="00F32E0D" w:rsidRDefault="001D3D4E" w:rsidP="00C0103D">
            <w:pPr>
              <w:suppressAutoHyphens w:val="0"/>
              <w:ind w:left="-108"/>
              <w:jc w:val="center"/>
              <w:rPr>
                <w:rFonts w:eastAsia="Calibri"/>
                <w:sz w:val="18"/>
                <w:szCs w:val="18"/>
              </w:rPr>
            </w:pPr>
            <w:r w:rsidRPr="00F32E0D">
              <w:rPr>
                <w:rFonts w:eastAsia="Calibri"/>
                <w:sz w:val="18"/>
                <w:szCs w:val="18"/>
              </w:rPr>
              <w:t>соответствует</w:t>
            </w:r>
          </w:p>
        </w:tc>
      </w:tr>
    </w:tbl>
    <w:p w:rsidR="001D3D4E" w:rsidRDefault="001D3D4E" w:rsidP="002A4679">
      <w:pPr>
        <w:snapToGrid w:val="0"/>
        <w:ind w:right="120"/>
        <w:rPr>
          <w:color w:val="000000"/>
        </w:rPr>
      </w:pPr>
    </w:p>
    <w:sectPr w:rsidR="001D3D4E" w:rsidSect="00C0103D">
      <w:pgSz w:w="16838" w:h="11906" w:orient="landscape"/>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015FAF"/>
    <w:rsid w:val="001065E3"/>
    <w:rsid w:val="001C5648"/>
    <w:rsid w:val="001D1753"/>
    <w:rsid w:val="001D3D4E"/>
    <w:rsid w:val="002A4679"/>
    <w:rsid w:val="002B20DD"/>
    <w:rsid w:val="0044762A"/>
    <w:rsid w:val="004A4E2C"/>
    <w:rsid w:val="00523817"/>
    <w:rsid w:val="00626F21"/>
    <w:rsid w:val="007F716F"/>
    <w:rsid w:val="00823F29"/>
    <w:rsid w:val="008961C6"/>
    <w:rsid w:val="009034D9"/>
    <w:rsid w:val="00927CEF"/>
    <w:rsid w:val="00975D1B"/>
    <w:rsid w:val="009E7E21"/>
    <w:rsid w:val="009F5185"/>
    <w:rsid w:val="009F7D8B"/>
    <w:rsid w:val="00A64893"/>
    <w:rsid w:val="00AA51B1"/>
    <w:rsid w:val="00AD070B"/>
    <w:rsid w:val="00B838D8"/>
    <w:rsid w:val="00BB6B02"/>
    <w:rsid w:val="00BB75D2"/>
    <w:rsid w:val="00BE7AE9"/>
    <w:rsid w:val="00C0103D"/>
    <w:rsid w:val="00C15B3B"/>
    <w:rsid w:val="00C85E6C"/>
    <w:rsid w:val="00CB7D5B"/>
    <w:rsid w:val="00CC41C5"/>
    <w:rsid w:val="00CF10D1"/>
    <w:rsid w:val="00E456B1"/>
    <w:rsid w:val="00E91FC4"/>
    <w:rsid w:val="00EA1D99"/>
    <w:rsid w:val="00EF2D47"/>
    <w:rsid w:val="00F01658"/>
    <w:rsid w:val="00F504D2"/>
    <w:rsid w:val="00F64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1D3D4E"/>
    <w:pPr>
      <w:keepNext/>
      <w:numPr>
        <w:numId w:val="4"/>
      </w:numPr>
      <w:tabs>
        <w:tab w:val="left" w:pos="0"/>
      </w:tabs>
      <w:jc w:val="center"/>
      <w:outlineLvl w:val="0"/>
    </w:pPr>
    <w:rPr>
      <w:b/>
      <w:bCs/>
      <w:kern w:val="1"/>
      <w:sz w:val="22"/>
      <w:lang w:val="x-none"/>
    </w:rPr>
  </w:style>
  <w:style w:type="paragraph" w:styleId="2">
    <w:name w:val="heading 2"/>
    <w:basedOn w:val="a"/>
    <w:next w:val="a"/>
    <w:link w:val="20"/>
    <w:qFormat/>
    <w:rsid w:val="001D3D4E"/>
    <w:pPr>
      <w:keepNext/>
      <w:numPr>
        <w:ilvl w:val="1"/>
        <w:numId w:val="4"/>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1D3D4E"/>
    <w:pPr>
      <w:keepNext/>
      <w:numPr>
        <w:ilvl w:val="2"/>
        <w:numId w:val="4"/>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D3D4E"/>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1D3D4E"/>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1D3D4E"/>
    <w:rPr>
      <w:rFonts w:ascii="Arial" w:eastAsia="Times New Roman" w:hAnsi="Arial" w:cs="Arial"/>
      <w:b/>
      <w:bC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1D3D4E"/>
    <w:pPr>
      <w:keepNext/>
      <w:numPr>
        <w:numId w:val="4"/>
      </w:numPr>
      <w:tabs>
        <w:tab w:val="left" w:pos="0"/>
      </w:tabs>
      <w:jc w:val="center"/>
      <w:outlineLvl w:val="0"/>
    </w:pPr>
    <w:rPr>
      <w:b/>
      <w:bCs/>
      <w:kern w:val="1"/>
      <w:sz w:val="22"/>
      <w:lang w:val="x-none"/>
    </w:rPr>
  </w:style>
  <w:style w:type="paragraph" w:styleId="2">
    <w:name w:val="heading 2"/>
    <w:basedOn w:val="a"/>
    <w:next w:val="a"/>
    <w:link w:val="20"/>
    <w:qFormat/>
    <w:rsid w:val="001D3D4E"/>
    <w:pPr>
      <w:keepNext/>
      <w:numPr>
        <w:ilvl w:val="1"/>
        <w:numId w:val="4"/>
      </w:numPr>
      <w:tabs>
        <w:tab w:val="left" w:pos="0"/>
      </w:tabs>
      <w:jc w:val="center"/>
      <w:outlineLvl w:val="1"/>
    </w:pPr>
    <w:rPr>
      <w:rFonts w:eastAsia="Arial Unicode MS"/>
      <w:b/>
      <w:bCs/>
      <w:kern w:val="1"/>
      <w:lang w:val="x-none"/>
    </w:rPr>
  </w:style>
  <w:style w:type="paragraph" w:styleId="3">
    <w:name w:val="heading 3"/>
    <w:basedOn w:val="a"/>
    <w:next w:val="a"/>
    <w:link w:val="30"/>
    <w:uiPriority w:val="9"/>
    <w:qFormat/>
    <w:rsid w:val="001D3D4E"/>
    <w:pPr>
      <w:keepNext/>
      <w:numPr>
        <w:ilvl w:val="2"/>
        <w:numId w:val="4"/>
      </w:numPr>
      <w:spacing w:before="240" w:after="60"/>
      <w:outlineLvl w:val="2"/>
    </w:pPr>
    <w:rPr>
      <w:rFonts w:ascii="Arial" w:hAnsi="Arial" w:cs="Arial"/>
      <w:b/>
      <w:bCs/>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D3D4E"/>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1D3D4E"/>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1D3D4E"/>
    <w:rPr>
      <w:rFonts w:ascii="Arial" w:eastAsia="Times New Roman" w:hAnsi="Arial" w:cs="Arial"/>
      <w:b/>
      <w:b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2FB7A-7C7C-44BC-915E-81724ACC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2681</Words>
  <Characters>15283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2017-08-29T03:43:00Z</cp:lastPrinted>
  <dcterms:created xsi:type="dcterms:W3CDTF">2017-07-05T06:22:00Z</dcterms:created>
  <dcterms:modified xsi:type="dcterms:W3CDTF">2017-08-29T07:40:00Z</dcterms:modified>
</cp:coreProperties>
</file>