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EB276B" w:rsidRDefault="00EB276B" w:rsidP="00EB276B">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01689D" w:rsidP="00FE4656">
            <w:pPr>
              <w:keepNext/>
              <w:keepLines/>
              <w:widowControl w:val="0"/>
              <w:suppressLineNumbers/>
              <w:rPr>
                <w:i/>
                <w:sz w:val="23"/>
                <w:szCs w:val="23"/>
                <w:highlight w:val="yellow"/>
              </w:rPr>
            </w:pPr>
            <w:r w:rsidRPr="00205EC3">
              <w:rPr>
                <w:sz w:val="23"/>
                <w:szCs w:val="23"/>
              </w:rPr>
              <w:t xml:space="preserve">Аукцион в электронной форме </w:t>
            </w:r>
            <w:r w:rsidR="00550DA6" w:rsidRPr="00205EC3">
              <w:rPr>
                <w:sz w:val="23"/>
                <w:szCs w:val="23"/>
              </w:rPr>
              <w:t xml:space="preserve">на право заключения муниципального контракта на участие в долевом строительстве благоустроенных квартир </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E3D66" w:rsidRPr="00205EC3" w:rsidRDefault="00871709" w:rsidP="006E3D66">
            <w:pPr>
              <w:spacing w:after="0"/>
              <w:rPr>
                <w:sz w:val="23"/>
                <w:szCs w:val="23"/>
              </w:rPr>
            </w:pPr>
            <w:r w:rsidRPr="00205EC3">
              <w:rPr>
                <w:sz w:val="23"/>
                <w:szCs w:val="23"/>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6E3D66" w:rsidP="006E3D66">
            <w:pPr>
              <w:autoSpaceDE w:val="0"/>
              <w:autoSpaceDN w:val="0"/>
              <w:adjustRightInd w:val="0"/>
              <w:spacing w:after="0"/>
              <w:rPr>
                <w:sz w:val="23"/>
                <w:szCs w:val="23"/>
              </w:rPr>
            </w:pPr>
            <w:r w:rsidRPr="00205EC3">
              <w:rPr>
                <w:sz w:val="23"/>
                <w:szCs w:val="23"/>
              </w:rPr>
              <w:t xml:space="preserve">Застройщик обязан не позднее </w:t>
            </w:r>
            <w:r w:rsidR="00AB2034">
              <w:rPr>
                <w:sz w:val="22"/>
                <w:szCs w:val="22"/>
              </w:rPr>
              <w:t>1 квартала 2016</w:t>
            </w:r>
            <w:r w:rsidR="00AB2034" w:rsidRPr="000F67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2 квартала 2016 года.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CD3B27" w:rsidP="006E2615">
            <w:pPr>
              <w:keepNext/>
              <w:keepLines/>
              <w:widowControl w:val="0"/>
              <w:suppressLineNumbers/>
              <w:suppressAutoHyphens/>
              <w:rPr>
                <w:rStyle w:val="afb"/>
                <w:i w:val="0"/>
                <w:sz w:val="23"/>
                <w:szCs w:val="23"/>
              </w:rPr>
            </w:pPr>
            <w:r>
              <w:rPr>
                <w:rStyle w:val="afb"/>
                <w:b/>
                <w:i w:val="0"/>
                <w:sz w:val="23"/>
                <w:szCs w:val="23"/>
              </w:rPr>
              <w:t>9</w:t>
            </w:r>
            <w:r w:rsidR="00663971">
              <w:rPr>
                <w:rStyle w:val="afb"/>
                <w:b/>
                <w:i w:val="0"/>
                <w:sz w:val="23"/>
                <w:szCs w:val="23"/>
              </w:rPr>
              <w:t> 260 300,0</w:t>
            </w:r>
            <w:r>
              <w:rPr>
                <w:rStyle w:val="afb"/>
                <w:b/>
                <w:i w:val="0"/>
                <w:sz w:val="23"/>
                <w:szCs w:val="23"/>
              </w:rPr>
              <w:t>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1B6B20" w:rsidP="00CD1C86">
            <w:pPr>
              <w:rPr>
                <w:snapToGrid w:val="0"/>
                <w:sz w:val="23"/>
                <w:szCs w:val="23"/>
              </w:rPr>
            </w:pPr>
            <w:r w:rsidRPr="00205EC3">
              <w:rPr>
                <w:rStyle w:val="afb"/>
                <w:i w:val="0"/>
                <w:sz w:val="23"/>
                <w:szCs w:val="23"/>
              </w:rPr>
              <w:t xml:space="preserve">Начальная (максимальная) цена контракта включает в себя </w:t>
            </w:r>
            <w:r w:rsidRPr="00205EC3">
              <w:rPr>
                <w:snapToGrid w:val="0"/>
                <w:sz w:val="23"/>
                <w:szCs w:val="23"/>
              </w:rPr>
              <w:t xml:space="preserve">все </w:t>
            </w:r>
            <w:r w:rsidR="004E6FF1" w:rsidRPr="00205EC3">
              <w:rPr>
                <w:color w:val="000000"/>
                <w:sz w:val="23"/>
                <w:szCs w:val="23"/>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sidRPr="00205EC3">
              <w:rPr>
                <w:color w:val="000000"/>
                <w:sz w:val="23"/>
                <w:szCs w:val="23"/>
              </w:rPr>
              <w:t>Застройщика</w:t>
            </w:r>
            <w:r w:rsidR="004E6FF1" w:rsidRPr="00205EC3">
              <w:rPr>
                <w:color w:val="000000"/>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A13B1E" w:rsidP="008455D9">
            <w:pPr>
              <w:rPr>
                <w:i/>
                <w:sz w:val="23"/>
                <w:szCs w:val="23"/>
              </w:rPr>
            </w:pPr>
            <w:r>
              <w:rPr>
                <w:sz w:val="23"/>
                <w:szCs w:val="23"/>
              </w:rPr>
              <w:t>Бюджет города Югорска</w:t>
            </w:r>
            <w:r w:rsidR="001B6B20" w:rsidRPr="00205EC3">
              <w:rPr>
                <w:sz w:val="23"/>
                <w:szCs w:val="23"/>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CD3B27" w:rsidRDefault="00F7019A" w:rsidP="00CD3B27">
            <w:pPr>
              <w:rPr>
                <w:sz w:val="23"/>
                <w:szCs w:val="23"/>
              </w:rPr>
            </w:pPr>
            <w:r w:rsidRPr="00205EC3">
              <w:rPr>
                <w:sz w:val="23"/>
                <w:szCs w:val="23"/>
              </w:rPr>
              <w:t xml:space="preserve">Оплату Муниципальный заказчик производит путем перечисления денежных </w:t>
            </w:r>
            <w:proofErr w:type="gramStart"/>
            <w:r w:rsidRPr="00205EC3">
              <w:rPr>
                <w:sz w:val="23"/>
                <w:szCs w:val="23"/>
              </w:rPr>
              <w:t>средств</w:t>
            </w:r>
            <w:proofErr w:type="gramEnd"/>
            <w:r w:rsidRPr="00205EC3">
              <w:rPr>
                <w:sz w:val="23"/>
                <w:szCs w:val="23"/>
              </w:rPr>
              <w:t xml:space="preserve"> на расчетный счет Застройщика следующим образом:</w:t>
            </w:r>
          </w:p>
          <w:p w:rsidR="00CD3B27" w:rsidRPr="000F6784" w:rsidRDefault="00F7019A" w:rsidP="00CD3B27">
            <w:pPr>
              <w:ind w:firstLine="317"/>
            </w:pPr>
            <w:r w:rsidRPr="00205EC3">
              <w:rPr>
                <w:sz w:val="23"/>
                <w:szCs w:val="23"/>
              </w:rPr>
              <w:t xml:space="preserve">- </w:t>
            </w:r>
            <w:r w:rsidR="00CD3B27" w:rsidRPr="000F6784">
              <w:rPr>
                <w:sz w:val="22"/>
                <w:szCs w:val="22"/>
              </w:rPr>
              <w:t>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CD3B27" w:rsidRPr="000F6784" w:rsidRDefault="00CD3B27" w:rsidP="00CD3B27">
            <w:pPr>
              <w:autoSpaceDE w:val="0"/>
              <w:autoSpaceDN w:val="0"/>
              <w:adjustRightInd w:val="0"/>
              <w:spacing w:after="0"/>
              <w:ind w:firstLine="317"/>
            </w:pPr>
            <w:r w:rsidRPr="000F6784">
              <w:rPr>
                <w:sz w:val="22"/>
                <w:szCs w:val="22"/>
              </w:rPr>
              <w:lastRenderedPageBreak/>
              <w:t>- оставшуюся сумму выплачивает частями:</w:t>
            </w:r>
          </w:p>
          <w:p w:rsidR="00CD3B27" w:rsidRPr="009D2AE8" w:rsidRDefault="00CD3B27" w:rsidP="00CD3B27">
            <w:pPr>
              <w:autoSpaceDE w:val="0"/>
              <w:autoSpaceDN w:val="0"/>
              <w:adjustRightInd w:val="0"/>
              <w:spacing w:after="0"/>
              <w:ind w:firstLine="317"/>
            </w:pPr>
            <w:r w:rsidRPr="009D2AE8">
              <w:rPr>
                <w:sz w:val="22"/>
                <w:szCs w:val="22"/>
              </w:rP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CD3B27" w:rsidRPr="000F6784" w:rsidRDefault="00CD3B27" w:rsidP="00CD3B27">
            <w:pPr>
              <w:autoSpaceDE w:val="0"/>
              <w:autoSpaceDN w:val="0"/>
              <w:adjustRightInd w:val="0"/>
              <w:spacing w:after="0"/>
              <w:ind w:firstLine="317"/>
            </w:pPr>
            <w:r w:rsidRPr="009D2AE8">
              <w:rPr>
                <w:sz w:val="22"/>
                <w:szCs w:val="22"/>
              </w:rPr>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88731F" w:rsidRPr="00205EC3" w:rsidRDefault="00CD3B27" w:rsidP="00CD3B27">
            <w:pPr>
              <w:rPr>
                <w:sz w:val="23"/>
                <w:szCs w:val="23"/>
              </w:rPr>
            </w:pPr>
            <w:r w:rsidRPr="000F6784">
              <w:rPr>
                <w:sz w:val="22"/>
                <w:szCs w:val="22"/>
              </w:rP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roofErr w:type="gramStart"/>
            <w:r w:rsidRPr="000F6784">
              <w:rPr>
                <w:sz w:val="22"/>
                <w:szCs w:val="22"/>
              </w:rPr>
              <w:t>.</w:t>
            </w:r>
            <w:r w:rsidR="00BB23B1" w:rsidRPr="00205EC3">
              <w:rPr>
                <w:sz w:val="23"/>
                <w:szCs w:val="23"/>
              </w:rPr>
              <w:t>.</w:t>
            </w:r>
            <w:proofErr w:type="gramEnd"/>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r w:rsidRPr="00205EC3">
              <w:rPr>
                <w:rFonts w:ascii="Times New Roman" w:hAnsi="Times New Roman"/>
                <w:b w:val="0"/>
                <w:bCs w:val="0"/>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205EC3" w:rsidRDefault="001B6B20" w:rsidP="006E26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В случае</w:t>
            </w:r>
            <w:proofErr w:type="gramStart"/>
            <w:r w:rsidRPr="00205EC3">
              <w:rPr>
                <w:rFonts w:ascii="Times New Roman" w:hAnsi="Times New Roman"/>
                <w:b w:val="0"/>
                <w:bCs w:val="0"/>
                <w:sz w:val="23"/>
                <w:szCs w:val="23"/>
              </w:rPr>
              <w:t>,</w:t>
            </w:r>
            <w:proofErr w:type="gramEnd"/>
            <w:r w:rsidRPr="00205EC3">
              <w:rPr>
                <w:rFonts w:ascii="Times New Roman" w:hAnsi="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05EC3">
              <w:rPr>
                <w:rFonts w:ascii="Times New Roman" w:hAnsi="Times New Roman"/>
                <w:b w:val="0"/>
                <w:sz w:val="23"/>
                <w:szCs w:val="23"/>
              </w:rPr>
              <w:fldChar w:fldCharType="begin"/>
            </w:r>
            <w:r w:rsidR="00B53C69" w:rsidRPr="00205EC3">
              <w:rPr>
                <w:rFonts w:ascii="Times New Roman" w:hAnsi="Times New Roman"/>
                <w:b w:val="0"/>
                <w:sz w:val="23"/>
                <w:szCs w:val="23"/>
              </w:rPr>
              <w:instrText xml:space="preserve"> REF _Ref353200173 \r \h  \* MERGEFORMAT </w:instrText>
            </w:r>
            <w:r w:rsidR="00B53C69" w:rsidRPr="00205EC3">
              <w:rPr>
                <w:rFonts w:ascii="Times New Roman" w:hAnsi="Times New Roman"/>
                <w:b w:val="0"/>
                <w:sz w:val="23"/>
                <w:szCs w:val="23"/>
              </w:rPr>
            </w:r>
            <w:r w:rsidR="00B53C69" w:rsidRPr="00205EC3">
              <w:rPr>
                <w:rFonts w:ascii="Times New Roman" w:hAnsi="Times New Roman"/>
                <w:b w:val="0"/>
                <w:sz w:val="23"/>
                <w:szCs w:val="23"/>
              </w:rPr>
              <w:fldChar w:fldCharType="separate"/>
            </w:r>
            <w:r w:rsidR="00326B22">
              <w:rPr>
                <w:rFonts w:ascii="Times New Roman" w:hAnsi="Times New Roman"/>
                <w:b w:val="0"/>
                <w:sz w:val="23"/>
                <w:szCs w:val="23"/>
              </w:rPr>
              <w:t>7</w:t>
            </w:r>
            <w:r w:rsidR="00B53C69" w:rsidRPr="00205EC3">
              <w:rPr>
                <w:rFonts w:ascii="Times New Roman" w:hAnsi="Times New Roman"/>
                <w:b w:val="0"/>
                <w:sz w:val="23"/>
                <w:szCs w:val="23"/>
              </w:rPr>
              <w:fldChar w:fldCharType="end"/>
            </w:r>
            <w:r w:rsidRPr="00205EC3">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lastRenderedPageBreak/>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w:t>
            </w:r>
            <w:r w:rsidR="001B6B20" w:rsidRPr="00205EC3">
              <w:rPr>
                <w:sz w:val="23"/>
                <w:szCs w:val="23"/>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участникам закупки разъяснений </w:t>
            </w:r>
            <w:r w:rsidRPr="00E84893">
              <w:lastRenderedPageBreak/>
              <w:t>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w:t>
            </w:r>
            <w:r w:rsidRPr="00205EC3">
              <w:rPr>
                <w:sz w:val="23"/>
                <w:szCs w:val="23"/>
              </w:rPr>
              <w:lastRenderedPageBreak/>
              <w:t xml:space="preserve">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4A5851">
              <w:rPr>
                <w:sz w:val="23"/>
                <w:szCs w:val="23"/>
              </w:rPr>
              <w:t>19</w:t>
            </w:r>
            <w:r w:rsidRPr="00205EC3">
              <w:rPr>
                <w:sz w:val="23"/>
                <w:szCs w:val="23"/>
              </w:rPr>
              <w:t xml:space="preserve">»  </w:t>
            </w:r>
            <w:r w:rsidR="004A5851">
              <w:t xml:space="preserve">сентября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4A5851">
              <w:rPr>
                <w:sz w:val="23"/>
                <w:szCs w:val="23"/>
              </w:rPr>
              <w:t>03</w:t>
            </w:r>
            <w:r w:rsidR="00A05A73" w:rsidRPr="00205EC3">
              <w:rPr>
                <w:sz w:val="23"/>
                <w:szCs w:val="23"/>
              </w:rPr>
              <w:t xml:space="preserve">»  </w:t>
            </w:r>
            <w:r w:rsidR="004A5851">
              <w:t xml:space="preserve">октября </w:t>
            </w:r>
            <w:r w:rsidR="00A05A73" w:rsidRPr="00205EC3">
              <w:rPr>
                <w:sz w:val="23"/>
                <w:szCs w:val="23"/>
              </w:rPr>
              <w:t>2015 года</w:t>
            </w:r>
            <w:r w:rsidRPr="00205EC3">
              <w:rPr>
                <w:sz w:val="23"/>
                <w:szCs w:val="23"/>
              </w:rPr>
              <w:t>.</w:t>
            </w:r>
            <w:bookmarkStart w:id="9" w:name="_GoBack"/>
          </w:p>
          <w:p w:rsidR="000F7BF0" w:rsidRPr="00205EC3" w:rsidRDefault="000F7BF0">
            <w:pPr>
              <w:spacing w:after="120" w:line="276" w:lineRule="auto"/>
              <w:rPr>
                <w:sz w:val="23"/>
                <w:szCs w:val="23"/>
              </w:rPr>
            </w:pPr>
            <w:r w:rsidRPr="00205EC3">
              <w:rPr>
                <w:i/>
                <w:sz w:val="23"/>
                <w:szCs w:val="23"/>
              </w:rPr>
              <w:t xml:space="preserve">Если последний день срока приходится на нерабочий день, днем </w:t>
            </w:r>
            <w:bookmarkEnd w:id="9"/>
            <w:r w:rsidRPr="00205EC3">
              <w:rPr>
                <w:i/>
                <w:sz w:val="23"/>
                <w:szCs w:val="23"/>
              </w:rPr>
              <w:t>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4A5851">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4A5851">
              <w:rPr>
                <w:sz w:val="23"/>
                <w:szCs w:val="23"/>
              </w:rPr>
              <w:t>05</w:t>
            </w:r>
            <w:r w:rsidR="00A05A73" w:rsidRPr="00205EC3">
              <w:rPr>
                <w:sz w:val="23"/>
                <w:szCs w:val="23"/>
              </w:rPr>
              <w:t xml:space="preserve">»  </w:t>
            </w:r>
            <w:r w:rsidR="004A5851">
              <w:t xml:space="preserve">октября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4A5851">
            <w:pPr>
              <w:spacing w:line="276" w:lineRule="auto"/>
              <w:rPr>
                <w:sz w:val="23"/>
                <w:szCs w:val="23"/>
              </w:rPr>
            </w:pPr>
            <w:r w:rsidRPr="00205EC3">
              <w:rPr>
                <w:sz w:val="23"/>
                <w:szCs w:val="23"/>
              </w:rPr>
              <w:t>«</w:t>
            </w:r>
            <w:r w:rsidR="004A5851">
              <w:rPr>
                <w:sz w:val="23"/>
                <w:szCs w:val="23"/>
              </w:rPr>
              <w:t>06</w:t>
            </w:r>
            <w:r w:rsidR="00A05A73" w:rsidRPr="00205EC3">
              <w:rPr>
                <w:sz w:val="23"/>
                <w:szCs w:val="23"/>
              </w:rPr>
              <w:t xml:space="preserve">» </w:t>
            </w:r>
            <w:r w:rsidR="004A5851">
              <w:t xml:space="preserve">октября </w:t>
            </w:r>
            <w:r w:rsidR="000F7BF0" w:rsidRPr="00205EC3">
              <w:rPr>
                <w:sz w:val="23"/>
                <w:szCs w:val="23"/>
              </w:rPr>
              <w:t>201</w:t>
            </w:r>
            <w:r w:rsidR="00A05A73" w:rsidRPr="00205EC3">
              <w:rPr>
                <w:sz w:val="23"/>
                <w:szCs w:val="23"/>
              </w:rPr>
              <w:t>5</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4A5851">
            <w:pPr>
              <w:spacing w:line="276" w:lineRule="auto"/>
              <w:rPr>
                <w:sz w:val="23"/>
                <w:szCs w:val="23"/>
              </w:rPr>
            </w:pPr>
            <w:r w:rsidRPr="00205EC3">
              <w:rPr>
                <w:sz w:val="23"/>
                <w:szCs w:val="23"/>
              </w:rPr>
              <w:t>«</w:t>
            </w:r>
            <w:r w:rsidR="004A5851">
              <w:rPr>
                <w:sz w:val="23"/>
                <w:szCs w:val="23"/>
              </w:rPr>
              <w:t>09</w:t>
            </w:r>
            <w:r w:rsidRPr="00205EC3">
              <w:rPr>
                <w:sz w:val="23"/>
                <w:szCs w:val="23"/>
              </w:rPr>
              <w:t xml:space="preserve">» </w:t>
            </w:r>
            <w:r w:rsidR="004A5851">
              <w:t xml:space="preserve">октября </w:t>
            </w:r>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2F172D" w:rsidRPr="00205EC3" w:rsidRDefault="002F172D" w:rsidP="002F172D">
            <w:pPr>
              <w:suppressAutoHyphens/>
              <w:snapToGrid w:val="0"/>
              <w:rPr>
                <w:sz w:val="23"/>
                <w:szCs w:val="23"/>
              </w:rPr>
            </w:pPr>
            <w:r w:rsidRPr="00205EC3">
              <w:rPr>
                <w:sz w:val="23"/>
                <w:szCs w:val="23"/>
              </w:rPr>
              <w:t xml:space="preserve">Согласие участника аукциона на </w:t>
            </w:r>
            <w:r w:rsidR="00B45046" w:rsidRPr="00205EC3">
              <w:rPr>
                <w:sz w:val="23"/>
                <w:szCs w:val="23"/>
              </w:rPr>
              <w:t>выполнение работ</w:t>
            </w:r>
            <w:r w:rsidRPr="00205EC3">
              <w:rPr>
                <w:sz w:val="23"/>
                <w:szCs w:val="23"/>
              </w:rPr>
              <w:t xml:space="preserve"> на условиях, предусмотренных настоящей документацией</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w:t>
            </w:r>
            <w:r w:rsidRPr="00205EC3">
              <w:rPr>
                <w:kern w:val="1"/>
                <w:sz w:val="23"/>
                <w:szCs w:val="23"/>
                <w:lang w:eastAsia="ar-SA"/>
              </w:rPr>
              <w:lastRenderedPageBreak/>
              <w:t xml:space="preserve">(для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 xml:space="preserve">отсутствие у участника закупки – физического лица либо у руководителя, членов коллегиального исполнительного органа или </w:t>
            </w:r>
            <w:r w:rsidRPr="00205EC3">
              <w:rPr>
                <w:kern w:val="1"/>
                <w:sz w:val="23"/>
                <w:szCs w:val="23"/>
                <w:lang w:eastAsia="ar-SA"/>
              </w:rPr>
              <w:lastRenderedPageBreak/>
              <w:t>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w:t>
            </w:r>
            <w:r w:rsidRPr="00205EC3">
              <w:rPr>
                <w:kern w:val="1"/>
                <w:sz w:val="23"/>
                <w:szCs w:val="23"/>
                <w:lang w:eastAsia="ar-SA"/>
              </w:rPr>
              <w:lastRenderedPageBreak/>
              <w:t>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5" w:name="_Ref119430333"/>
            <w:r w:rsidRPr="00205EC3">
              <w:rPr>
                <w:kern w:val="1"/>
                <w:sz w:val="23"/>
                <w:szCs w:val="23"/>
                <w:lang w:eastAsia="ar-SA"/>
              </w:rPr>
              <w:t xml:space="preserve"> </w:t>
            </w:r>
            <w:bookmarkStart w:id="16" w:name="_Ref119429817"/>
            <w:bookmarkStart w:id="17" w:name="_Toc123405470"/>
            <w:bookmarkEnd w:id="15"/>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lastRenderedPageBreak/>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w:t>
            </w:r>
            <w:r w:rsidRPr="00205EC3">
              <w:rPr>
                <w:sz w:val="23"/>
                <w:szCs w:val="23"/>
              </w:rPr>
              <w:lastRenderedPageBreak/>
              <w:t>«до»,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326B22">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326B22" w:rsidRPr="00326B22">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326B22">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663971">
            <w:pPr>
              <w:spacing w:after="0"/>
              <w:rPr>
                <w:kern w:val="1"/>
                <w:sz w:val="23"/>
                <w:szCs w:val="23"/>
                <w:lang w:eastAsia="ar-SA"/>
              </w:rPr>
            </w:pPr>
            <w:r w:rsidRPr="00205EC3">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18469C" w:rsidRPr="0018469C">
              <w:rPr>
                <w:b/>
                <w:kern w:val="1"/>
                <w:sz w:val="23"/>
                <w:szCs w:val="23"/>
                <w:lang w:eastAsia="ar-SA"/>
              </w:rPr>
              <w:t>4</w:t>
            </w:r>
            <w:r w:rsidR="004622DF">
              <w:rPr>
                <w:b/>
                <w:kern w:val="1"/>
                <w:sz w:val="23"/>
                <w:szCs w:val="23"/>
                <w:lang w:eastAsia="ar-SA"/>
              </w:rPr>
              <w:t>6</w:t>
            </w:r>
            <w:r w:rsidR="00663971">
              <w:rPr>
                <w:b/>
                <w:kern w:val="1"/>
                <w:sz w:val="23"/>
                <w:szCs w:val="23"/>
                <w:lang w:eastAsia="ar-SA"/>
              </w:rPr>
              <w:t> 301,50</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w:t>
            </w:r>
            <w:r w:rsidRPr="00205EC3">
              <w:rPr>
                <w:kern w:val="1"/>
                <w:sz w:val="23"/>
                <w:szCs w:val="23"/>
                <w:lang w:eastAsia="ar-SA"/>
              </w:rPr>
              <w:lastRenderedPageBreak/>
              <w:t>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1C48E1">
              <w:rPr>
                <w:rFonts w:ascii="Times New Roman" w:hAnsi="Times New Roman"/>
                <w:b w:val="0"/>
                <w:bCs w:val="0"/>
                <w:kern w:val="1"/>
                <w:sz w:val="23"/>
                <w:szCs w:val="23"/>
                <w:lang w:eastAsia="ar-SA"/>
              </w:rPr>
              <w:t>10</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663971">
              <w:rPr>
                <w:rFonts w:ascii="Times New Roman" w:hAnsi="Times New Roman"/>
                <w:bCs w:val="0"/>
                <w:kern w:val="1"/>
                <w:sz w:val="23"/>
                <w:szCs w:val="23"/>
                <w:lang w:eastAsia="ar-SA"/>
              </w:rPr>
              <w:t>926 030,00</w:t>
            </w:r>
            <w:r w:rsidR="0018469C">
              <w:rPr>
                <w:rFonts w:ascii="Times New Roman" w:hAnsi="Times New Roman"/>
                <w:bCs w:val="0"/>
                <w:kern w:val="1"/>
                <w:sz w:val="23"/>
                <w:szCs w:val="23"/>
                <w:lang w:eastAsia="ar-SA"/>
              </w:rPr>
              <w:t xml:space="preserve"> </w:t>
            </w:r>
            <w:r w:rsidR="00BB4A8A" w:rsidRPr="00205EC3">
              <w:rPr>
                <w:rFonts w:ascii="Times New Roman" w:hAnsi="Times New Roman"/>
                <w:bCs w:val="0"/>
                <w:kern w:val="1"/>
                <w:sz w:val="23"/>
                <w:szCs w:val="23"/>
                <w:lang w:eastAsia="ar-SA"/>
              </w:rPr>
              <w:t>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lastRenderedPageBreak/>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6" w:name="_Ref166350767"/>
            <w:bookmarkStart w:id="27"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7"/>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w:t>
            </w:r>
            <w:r w:rsidRPr="00205EC3">
              <w:rPr>
                <w:kern w:val="1"/>
                <w:sz w:val="23"/>
                <w:szCs w:val="23"/>
                <w:lang w:eastAsia="ar-SA"/>
              </w:rPr>
              <w:lastRenderedPageBreak/>
              <w:t>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B53C69">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мероприятие 70.04.00.  обеспечение  исполнения 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контракта, </w:t>
            </w:r>
            <w:r w:rsidRPr="001F6398">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lastRenderedPageBreak/>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757392">
              <w:rPr>
                <w:kern w:val="1"/>
                <w:lang w:eastAsia="ar-SA"/>
              </w:rPr>
              <w:lastRenderedPageBreak/>
              <w:t>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lastRenderedPageBreak/>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30" w:name="Par528"/>
            <w:bookmarkEnd w:id="30"/>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1" w:name="Par529"/>
            <w:bookmarkEnd w:id="31"/>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w:t>
            </w:r>
            <w:r w:rsidRPr="00205EC3">
              <w:rPr>
                <w:rFonts w:ascii="Times New Roman" w:hAnsi="Times New Roman"/>
                <w:sz w:val="23"/>
                <w:szCs w:val="23"/>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205EC3">
              <w:rPr>
                <w:rFonts w:ascii="Times New Roman" w:hAnsi="Times New Roman"/>
                <w:sz w:val="23"/>
                <w:szCs w:val="23"/>
              </w:rPr>
              <w:lastRenderedPageBreak/>
              <w:t>рабочего дня, следующего за днем подписания указанного протокола.</w:t>
            </w:r>
            <w:bookmarkStart w:id="32" w:name="Par533"/>
            <w:bookmarkStart w:id="33" w:name="Par537"/>
            <w:bookmarkEnd w:id="32"/>
            <w:bookmarkEnd w:id="33"/>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5</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6</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7</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446CEF" w:rsidP="00F7019A">
            <w:pPr>
              <w:autoSpaceDE w:val="0"/>
              <w:snapToGrid w:val="0"/>
              <w:spacing w:line="276" w:lineRule="auto"/>
              <w:ind w:right="-174"/>
              <w:jc w:val="center"/>
              <w:rPr>
                <w:b/>
                <w:sz w:val="20"/>
                <w:lang w:eastAsia="en-US"/>
              </w:rPr>
            </w:pPr>
            <w:r>
              <w:rPr>
                <w:b/>
                <w:sz w:val="20"/>
                <w:lang w:eastAsia="en-US"/>
              </w:rPr>
              <w:t>8</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11203A">
            <w:pPr>
              <w:autoSpaceDE w:val="0"/>
              <w:snapToGrid w:val="0"/>
              <w:spacing w:line="276" w:lineRule="auto"/>
              <w:ind w:right="-174"/>
              <w:jc w:val="center"/>
              <w:rPr>
                <w:sz w:val="20"/>
                <w:lang w:eastAsia="en-US"/>
              </w:rPr>
            </w:pPr>
            <w:r>
              <w:rPr>
                <w:sz w:val="20"/>
                <w:lang w:eastAsia="en-US"/>
              </w:rPr>
              <w:t xml:space="preserve">Не позднее </w:t>
            </w:r>
            <w:r w:rsidR="0011203A">
              <w:rPr>
                <w:sz w:val="20"/>
                <w:lang w:eastAsia="en-US"/>
              </w:rPr>
              <w:t>1</w:t>
            </w:r>
            <w:r>
              <w:rPr>
                <w:sz w:val="20"/>
                <w:lang w:eastAsia="en-US"/>
              </w:rPr>
              <w:t xml:space="preserve"> квартала 201</w:t>
            </w:r>
            <w:r w:rsidR="0011203A">
              <w:rPr>
                <w:sz w:val="20"/>
                <w:lang w:eastAsia="en-US"/>
              </w:rPr>
              <w:t>6</w:t>
            </w:r>
            <w:r>
              <w:rPr>
                <w:sz w:val="20"/>
                <w:lang w:eastAsia="en-US"/>
              </w:rPr>
              <w:t xml:space="preserve"> года</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446CEF" w:rsidRDefault="000B57C7" w:rsidP="00446CEF">
            <w:pPr>
              <w:autoSpaceDE w:val="0"/>
              <w:snapToGrid w:val="0"/>
              <w:spacing w:line="276" w:lineRule="auto"/>
              <w:ind w:right="-174"/>
              <w:jc w:val="center"/>
              <w:rPr>
                <w:sz w:val="20"/>
                <w:lang w:eastAsia="en-US"/>
              </w:rPr>
            </w:pPr>
            <w:r>
              <w:rPr>
                <w:sz w:val="20"/>
                <w:lang w:eastAsia="en-US"/>
              </w:rPr>
              <w:t>3</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10</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комнат в квартире</w:t>
            </w:r>
          </w:p>
        </w:tc>
        <w:tc>
          <w:tcPr>
            <w:tcW w:w="6654" w:type="dxa"/>
            <w:tcBorders>
              <w:top w:val="single" w:sz="4" w:space="0" w:color="000000"/>
              <w:left w:val="single" w:sz="4" w:space="0" w:color="000000"/>
              <w:bottom w:val="single" w:sz="4" w:space="0" w:color="000000"/>
              <w:right w:val="single" w:sz="4" w:space="0" w:color="000000"/>
            </w:tcBorders>
          </w:tcPr>
          <w:p w:rsidR="00446CEF" w:rsidRDefault="001C48E1" w:rsidP="001F482A">
            <w:pPr>
              <w:autoSpaceDE w:val="0"/>
              <w:snapToGrid w:val="0"/>
              <w:spacing w:line="276" w:lineRule="auto"/>
              <w:ind w:right="-174"/>
              <w:jc w:val="center"/>
              <w:rPr>
                <w:sz w:val="20"/>
                <w:lang w:eastAsia="en-US"/>
              </w:rPr>
            </w:pPr>
            <w:r>
              <w:rPr>
                <w:sz w:val="20"/>
                <w:lang w:eastAsia="en-US"/>
              </w:rPr>
              <w:t xml:space="preserve">Не менее </w:t>
            </w:r>
            <w:r w:rsidR="000B57C7">
              <w:rPr>
                <w:sz w:val="20"/>
                <w:lang w:eastAsia="en-US"/>
              </w:rPr>
              <w:t>2</w:t>
            </w:r>
            <w:r>
              <w:rPr>
                <w:sz w:val="20"/>
                <w:lang w:eastAsia="en-US"/>
              </w:rPr>
              <w:t xml:space="preserve">-х </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11</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jc w:val="center"/>
              <w:rPr>
                <w:b/>
                <w:sz w:val="20"/>
                <w:lang w:eastAsia="en-US"/>
              </w:rPr>
            </w:pPr>
            <w:r>
              <w:rPr>
                <w:b/>
                <w:sz w:val="20"/>
                <w:lang w:eastAsia="en-US"/>
              </w:rPr>
              <w:t>Общая площадь квартир</w:t>
            </w:r>
            <w:r w:rsidR="00397523">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446CEF" w:rsidRDefault="00562328" w:rsidP="00663971">
            <w:pPr>
              <w:autoSpaceDE w:val="0"/>
              <w:snapToGrid w:val="0"/>
              <w:spacing w:line="276" w:lineRule="auto"/>
              <w:jc w:val="center"/>
              <w:rPr>
                <w:sz w:val="20"/>
                <w:lang w:eastAsia="en-US"/>
              </w:rPr>
            </w:pPr>
            <w:r>
              <w:rPr>
                <w:sz w:val="20"/>
                <w:lang w:eastAsia="en-US"/>
              </w:rPr>
              <w:t>Не менее</w:t>
            </w:r>
            <w:r w:rsidR="001F482A">
              <w:rPr>
                <w:sz w:val="20"/>
                <w:lang w:eastAsia="en-US"/>
              </w:rPr>
              <w:t xml:space="preserve"> 17</w:t>
            </w:r>
            <w:r w:rsidR="00663971">
              <w:rPr>
                <w:sz w:val="20"/>
                <w:lang w:eastAsia="en-US"/>
              </w:rPr>
              <w:t>5,0</w:t>
            </w:r>
            <w:r w:rsidR="00446CE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0B57C7" w:rsidRDefault="000B57C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0B57C7" w:rsidRDefault="000B57C7"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4" w:name="_Ref248562863"/>
      <w:bookmarkStart w:id="35"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397523"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w:t>
      </w:r>
    </w:p>
    <w:p w:rsidR="00043F1D" w:rsidRDefault="00043F1D" w:rsidP="00043F1D">
      <w:pPr>
        <w:snapToGrid w:val="0"/>
        <w:jc w:val="center"/>
        <w:rPr>
          <w:b/>
        </w:rPr>
      </w:pP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B57C7" w:rsidRDefault="000B57C7" w:rsidP="000B57C7">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0B57C7" w:rsidRDefault="000B57C7" w:rsidP="000B57C7">
      <w:pPr>
        <w:autoSpaceDE w:val="0"/>
        <w:autoSpaceDN w:val="0"/>
        <w:adjustRightInd w:val="0"/>
        <w:spacing w:after="0"/>
        <w:ind w:firstLine="709"/>
      </w:pPr>
      <w:r>
        <w:t>- оставшуюся сумму выплачивает частями:</w:t>
      </w:r>
    </w:p>
    <w:p w:rsidR="000B57C7" w:rsidRDefault="000B57C7" w:rsidP="000B57C7">
      <w:pPr>
        <w:autoSpaceDE w:val="0"/>
        <w:autoSpaceDN w:val="0"/>
        <w:adjustRightInd w:val="0"/>
        <w:spacing w:after="0"/>
        <w:ind w:firstLine="709"/>
      </w:pPr>
      <w: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B57C7" w:rsidRDefault="000B57C7" w:rsidP="000B57C7">
      <w:pPr>
        <w:autoSpaceDE w:val="0"/>
        <w:autoSpaceDN w:val="0"/>
        <w:adjustRightInd w:val="0"/>
        <w:spacing w:after="0"/>
        <w:ind w:firstLine="709"/>
      </w:pPr>
      <w:r>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43F1D" w:rsidRDefault="000B57C7" w:rsidP="000B57C7">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r w:rsidR="00043F1D">
        <w:t xml:space="preserve"> </w:t>
      </w:r>
    </w:p>
    <w:p w:rsidR="00974F48" w:rsidRDefault="00043F1D" w:rsidP="00974F48">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D904D0">
        <w:t>ованным и изменению не подлежит</w:t>
      </w:r>
      <w:r w:rsidR="00974F48">
        <w:t>, кроме случая указанного в пункте 2.4. Контракта.</w:t>
      </w:r>
    </w:p>
    <w:p w:rsidR="00110020" w:rsidRDefault="00974F48" w:rsidP="00110020">
      <w:pPr>
        <w:widowControl w:val="0"/>
        <w:suppressAutoHyphens/>
        <w:spacing w:after="0"/>
        <w:ind w:firstLine="709"/>
      </w:pPr>
      <w:r>
        <w:t xml:space="preserve">2.4. </w:t>
      </w:r>
      <w:r w:rsidR="00110020">
        <w:t xml:space="preserve">Если общая площадь каждого из Объектов долевого строительства по результатам технической инвентаризации составит </w:t>
      </w:r>
      <w:proofErr w:type="gramStart"/>
      <w:r w:rsidR="00110020">
        <w:t>менее указанной</w:t>
      </w:r>
      <w:proofErr w:type="gramEnd"/>
      <w:r w:rsidR="00110020">
        <w:t xml:space="preserve"> в Приложении 2 Контракта общей площади каждого из</w:t>
      </w:r>
      <w:r w:rsidR="00110020" w:rsidRPr="0096518A">
        <w:t xml:space="preserve"> Объектов долевого строительства</w:t>
      </w:r>
      <w:r w:rsidR="00110020">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00110020" w:rsidRPr="0096518A">
        <w:t xml:space="preserve"> </w:t>
      </w:r>
      <w:r w:rsidR="00110020">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110020" w:rsidRPr="007260A1" w:rsidRDefault="00110020" w:rsidP="00110020">
      <w:pPr>
        <w:widowControl w:val="0"/>
        <w:suppressAutoHyphens/>
        <w:spacing w:after="0"/>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0B57C7">
        <w:t>не позднее 1 квартала 2016 года</w:t>
      </w:r>
      <w:r w:rsidR="000B57C7" w:rsidRPr="00995F49">
        <w:t xml:space="preserve"> ввести в эксплуатацию Объект и передать Объекты долевого строительства в собственность Муниц</w:t>
      </w:r>
      <w:r w:rsidR="000B57C7">
        <w:t>ипального заказчика не позднее 2 квартала 2016 года</w:t>
      </w:r>
      <w:r w:rsidR="000B57C7" w:rsidRPr="00995F49">
        <w:t>, в соответствии с характеристикой Объектов долевого строительства (Приложение 2)</w:t>
      </w:r>
      <w:r w:rsidRPr="00995F49">
        <w:t>.</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110020">
      <w:pPr>
        <w:widowControl w:val="0"/>
        <w:suppressAutoHyphens/>
        <w:spacing w:after="0"/>
        <w:ind w:firstLine="709"/>
      </w:pPr>
      <w:r>
        <w:t xml:space="preserve">3.3. </w:t>
      </w:r>
      <w:r w:rsidR="00110020">
        <w:t xml:space="preserve">Застройщик обязуется осуществить техническую инвентаризацию Объектов долевого строительства и передать </w:t>
      </w:r>
      <w:r w:rsidR="00110020" w:rsidRPr="00FC0154">
        <w:t xml:space="preserve">Муниципальному заказчику </w:t>
      </w:r>
      <w:r w:rsidR="00110020">
        <w:t>технические планы и кадастровые паспорта на них.</w:t>
      </w:r>
    </w:p>
    <w:p w:rsidR="00043F1D" w:rsidRDefault="00043F1D" w:rsidP="00043F1D">
      <w:pPr>
        <w:widowControl w:val="0"/>
        <w:suppressAutoHyphens/>
        <w:spacing w:after="0"/>
        <w:ind w:firstLine="709"/>
      </w:pPr>
      <w:r>
        <w:t xml:space="preserve">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w:t>
      </w:r>
      <w:r>
        <w:lastRenderedPageBreak/>
        <w:t>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Pr="00314A5E" w:rsidRDefault="00A605EB" w:rsidP="00A605EB">
      <w:pPr>
        <w:pStyle w:val="afa"/>
        <w:widowControl w:val="0"/>
        <w:suppressAutoHyphens/>
        <w:ind w:left="709"/>
        <w:jc w:val="center"/>
      </w:pPr>
      <w:r>
        <w:rPr>
          <w:b/>
        </w:rPr>
        <w:t xml:space="preserve">4. </w:t>
      </w:r>
      <w:r w:rsidR="00043F1D" w:rsidRPr="007260A1">
        <w:rPr>
          <w:b/>
        </w:rPr>
        <w:t xml:space="preserve">Обязательства </w:t>
      </w:r>
      <w:r w:rsidR="00110020">
        <w:rPr>
          <w:b/>
        </w:rPr>
        <w:t>Муниципального заказчика</w:t>
      </w:r>
      <w:r w:rsidR="00043F1D" w:rsidRPr="007260A1">
        <w:rPr>
          <w:b/>
        </w:rPr>
        <w:t>.</w:t>
      </w:r>
    </w:p>
    <w:p w:rsidR="00314A5E" w:rsidRDefault="00314A5E" w:rsidP="00B5503E">
      <w:pPr>
        <w:pStyle w:val="afa"/>
        <w:widowControl w:val="0"/>
        <w:suppressAutoHyphens/>
        <w:ind w:left="709"/>
      </w:pP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110020" w:rsidRDefault="00110020" w:rsidP="00043F1D">
      <w:pPr>
        <w:widowControl w:val="0"/>
        <w:suppressAutoHyphens/>
        <w:spacing w:after="0"/>
        <w:ind w:firstLine="709"/>
        <w:jc w:val="center"/>
        <w:rPr>
          <w:b/>
          <w:shd w:val="clear" w:color="auto" w:fill="FFFFFF"/>
        </w:rPr>
      </w:pPr>
    </w:p>
    <w:p w:rsidR="00043F1D"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110020" w:rsidRDefault="00110020" w:rsidP="00043F1D">
      <w:pPr>
        <w:widowControl w:val="0"/>
        <w:suppressAutoHyphens/>
        <w:spacing w:after="0"/>
        <w:ind w:firstLine="709"/>
        <w:jc w:val="center"/>
        <w:rPr>
          <w:b/>
        </w:rPr>
      </w:pPr>
    </w:p>
    <w:p w:rsidR="00110020" w:rsidRPr="007260A1" w:rsidRDefault="00110020" w:rsidP="00043F1D">
      <w:pPr>
        <w:widowControl w:val="0"/>
        <w:suppressAutoHyphens/>
        <w:spacing w:after="0"/>
        <w:ind w:firstLine="709"/>
        <w:jc w:val="center"/>
        <w:rPr>
          <w:b/>
        </w:rPr>
      </w:pP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110020">
        <w:t>10</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w:t>
      </w:r>
      <w:r w:rsidRPr="00C83BD6">
        <w:rPr>
          <w:kern w:val="16"/>
        </w:rPr>
        <w:lastRenderedPageBreak/>
        <w:t xml:space="preserve">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 xml:space="preserve">по </w:t>
      </w:r>
      <w:r w:rsidR="000B57C7" w:rsidRPr="000B57C7">
        <w:rPr>
          <w:b/>
        </w:rPr>
        <w:t>0</w:t>
      </w:r>
      <w:r w:rsidR="00EC0888" w:rsidRPr="000B57C7">
        <w:rPr>
          <w:b/>
        </w:rPr>
        <w:t>1</w:t>
      </w:r>
      <w:r w:rsidR="00C83BD6" w:rsidRPr="000B57C7">
        <w:rPr>
          <w:b/>
        </w:rPr>
        <w:t xml:space="preserve"> </w:t>
      </w:r>
      <w:r w:rsidR="000B57C7" w:rsidRPr="000B57C7">
        <w:rPr>
          <w:b/>
        </w:rPr>
        <w:t>августа 2016</w:t>
      </w:r>
      <w:r w:rsidR="00C83BD6" w:rsidRPr="000B57C7">
        <w:rPr>
          <w:b/>
        </w:rPr>
        <w:t xml:space="preserve"> года</w:t>
      </w:r>
      <w:r w:rsidRPr="000652E6">
        <w:t xml:space="preserve">. </w:t>
      </w:r>
      <w:r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Default="00043F1D" w:rsidP="00043F1D">
      <w:pPr>
        <w:spacing w:after="0"/>
        <w:jc w:val="center"/>
        <w:rPr>
          <w:b/>
        </w:rPr>
      </w:pPr>
      <w:r w:rsidRPr="00730558">
        <w:rPr>
          <w:b/>
        </w:rPr>
        <w:t>6. Ответственность сторон</w:t>
      </w:r>
    </w:p>
    <w:p w:rsidR="00314A5E" w:rsidRDefault="00314A5E" w:rsidP="00043F1D">
      <w:pPr>
        <w:spacing w:after="0"/>
        <w:jc w:val="center"/>
        <w:rPr>
          <w:b/>
        </w:rPr>
      </w:pPr>
    </w:p>
    <w:p w:rsidR="00110020" w:rsidRPr="00730558" w:rsidRDefault="00110020" w:rsidP="00043F1D">
      <w:pPr>
        <w:spacing w:after="0"/>
        <w:jc w:val="center"/>
        <w:rPr>
          <w:b/>
        </w:rPr>
      </w:pP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lastRenderedPageBreak/>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lastRenderedPageBreak/>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lastRenderedPageBreak/>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 xml:space="preserve">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w:t>
      </w:r>
      <w:r w:rsidRPr="005B0B09">
        <w:lastRenderedPageBreak/>
        <w:t>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Pr="000B57C7">
        <w:rPr>
          <w:rFonts w:ascii="Times New Roman" w:hAnsi="Times New Roman" w:cs="Times New Roman"/>
          <w:b/>
          <w:sz w:val="24"/>
          <w:szCs w:val="24"/>
        </w:rPr>
        <w:t>30.</w:t>
      </w:r>
      <w:r w:rsidR="00AD25FE" w:rsidRPr="000B57C7">
        <w:rPr>
          <w:rFonts w:ascii="Times New Roman" w:hAnsi="Times New Roman" w:cs="Times New Roman"/>
          <w:b/>
          <w:sz w:val="24"/>
          <w:szCs w:val="24"/>
        </w:rPr>
        <w:t>0</w:t>
      </w:r>
      <w:r w:rsidR="000B57C7" w:rsidRPr="000B57C7">
        <w:rPr>
          <w:rFonts w:ascii="Times New Roman" w:hAnsi="Times New Roman" w:cs="Times New Roman"/>
          <w:b/>
          <w:sz w:val="24"/>
          <w:szCs w:val="24"/>
        </w:rPr>
        <w:t>6</w:t>
      </w:r>
      <w:r w:rsidRPr="000B57C7">
        <w:rPr>
          <w:rFonts w:ascii="Times New Roman" w:hAnsi="Times New Roman" w:cs="Times New Roman"/>
          <w:b/>
          <w:sz w:val="24"/>
          <w:szCs w:val="24"/>
        </w:rPr>
        <w:t>.201</w:t>
      </w:r>
      <w:r w:rsidR="000B57C7" w:rsidRPr="000B57C7">
        <w:rPr>
          <w:rFonts w:ascii="Times New Roman" w:hAnsi="Times New Roman" w:cs="Times New Roman"/>
          <w:b/>
          <w:sz w:val="24"/>
          <w:szCs w:val="24"/>
        </w:rPr>
        <w:t>6</w:t>
      </w:r>
      <w:r>
        <w:rPr>
          <w:rFonts w:ascii="Times New Roman" w:hAnsi="Times New Roman" w:cs="Times New Roman"/>
          <w:sz w:val="24"/>
          <w:szCs w:val="24"/>
        </w:rPr>
        <w:t>.</w:t>
      </w:r>
    </w:p>
    <w:p w:rsidR="00043F1D" w:rsidRPr="00160CD1" w:rsidRDefault="000B57C7" w:rsidP="00043F1D">
      <w:pPr>
        <w:pStyle w:val="ConsPlusNormal"/>
        <w:widowControl/>
        <w:ind w:firstLine="567"/>
        <w:jc w:val="both"/>
        <w:rPr>
          <w:rFonts w:ascii="Times New Roman" w:hAnsi="Times New Roman" w:cs="Times New Roman"/>
          <w:sz w:val="24"/>
          <w:szCs w:val="24"/>
        </w:rPr>
      </w:pPr>
      <w:r w:rsidRPr="000B57C7">
        <w:rPr>
          <w:rFonts w:ascii="Times New Roman" w:hAnsi="Times New Roman" w:cs="Times New Roman"/>
          <w:b/>
          <w:sz w:val="24"/>
          <w:szCs w:val="24"/>
        </w:rPr>
        <w:t>С 01</w:t>
      </w:r>
      <w:r w:rsidR="00AD25FE" w:rsidRPr="000B57C7">
        <w:rPr>
          <w:rFonts w:ascii="Times New Roman" w:hAnsi="Times New Roman" w:cs="Times New Roman"/>
          <w:b/>
          <w:sz w:val="24"/>
          <w:szCs w:val="24"/>
        </w:rPr>
        <w:t>.0</w:t>
      </w:r>
      <w:r w:rsidRPr="000B57C7">
        <w:rPr>
          <w:rFonts w:ascii="Times New Roman" w:hAnsi="Times New Roman" w:cs="Times New Roman"/>
          <w:b/>
          <w:sz w:val="24"/>
          <w:szCs w:val="24"/>
        </w:rPr>
        <w:t>7</w:t>
      </w:r>
      <w:r w:rsidR="00043F1D" w:rsidRPr="000B57C7">
        <w:rPr>
          <w:rFonts w:ascii="Times New Roman" w:hAnsi="Times New Roman" w:cs="Times New Roman"/>
          <w:b/>
          <w:sz w:val="24"/>
          <w:szCs w:val="24"/>
        </w:rPr>
        <w:t>.201</w:t>
      </w:r>
      <w:r w:rsidRPr="000B57C7">
        <w:rPr>
          <w:rFonts w:ascii="Times New Roman" w:hAnsi="Times New Roman" w:cs="Times New Roman"/>
          <w:b/>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lastRenderedPageBreak/>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572" w:type="dxa"/>
        <w:tblLayout w:type="fixed"/>
        <w:tblCellMar>
          <w:left w:w="0" w:type="dxa"/>
          <w:right w:w="0" w:type="dxa"/>
        </w:tblCellMar>
        <w:tblLook w:val="0000" w:firstRow="0" w:lastRow="0" w:firstColumn="0" w:lastColumn="0" w:noHBand="0" w:noVBand="0"/>
      </w:tblPr>
      <w:tblGrid>
        <w:gridCol w:w="993"/>
        <w:gridCol w:w="1275"/>
        <w:gridCol w:w="1276"/>
        <w:gridCol w:w="1134"/>
        <w:gridCol w:w="1134"/>
        <w:gridCol w:w="1172"/>
        <w:gridCol w:w="1984"/>
      </w:tblGrid>
      <w:tr w:rsidR="008D1750" w:rsidRPr="007260A1" w:rsidTr="008D1750">
        <w:trPr>
          <w:trHeight w:val="684"/>
          <w:tblHeader/>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F9320C">
              <w:rPr>
                <w:b/>
                <w:sz w:val="20"/>
                <w:szCs w:val="20"/>
              </w:rPr>
              <w:t>Улица</w:t>
            </w: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jc w:val="center"/>
              <w:rPr>
                <w:b/>
                <w:sz w:val="20"/>
                <w:szCs w:val="20"/>
              </w:rPr>
            </w:pPr>
            <w:r w:rsidRPr="007260A1">
              <w:rPr>
                <w:b/>
                <w:sz w:val="20"/>
                <w:szCs w:val="20"/>
              </w:rPr>
              <w:t>дома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F9320C" w:rsidRDefault="008D1750" w:rsidP="00B53C69">
            <w:pPr>
              <w:autoSpaceDE w:val="0"/>
              <w:snapToGrid w:val="0"/>
              <w:jc w:val="center"/>
              <w:rPr>
                <w:b/>
                <w:sz w:val="20"/>
                <w:szCs w:val="20"/>
              </w:rPr>
            </w:pPr>
            <w:r w:rsidRPr="00F9320C">
              <w:rPr>
                <w:b/>
                <w:sz w:val="20"/>
                <w:szCs w:val="20"/>
              </w:rPr>
              <w:t>№</w:t>
            </w:r>
          </w:p>
          <w:p w:rsidR="008D1750" w:rsidRPr="007260A1" w:rsidRDefault="008D1750" w:rsidP="00B53C69">
            <w:pPr>
              <w:autoSpaceDE w:val="0"/>
              <w:snapToGrid w:val="0"/>
              <w:jc w:val="center"/>
              <w:rPr>
                <w:b/>
                <w:sz w:val="20"/>
                <w:szCs w:val="20"/>
              </w:rPr>
            </w:pPr>
            <w:r w:rsidRPr="00F9320C">
              <w:rPr>
                <w:b/>
                <w:sz w:val="20"/>
                <w:szCs w:val="20"/>
              </w:rPr>
              <w:t>квартиры</w:t>
            </w: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jc w:val="center"/>
              <w:rPr>
                <w:b/>
                <w:sz w:val="20"/>
                <w:szCs w:val="20"/>
              </w:rPr>
            </w:pPr>
            <w:r w:rsidRPr="007260A1">
              <w:rPr>
                <w:b/>
                <w:sz w:val="20"/>
                <w:szCs w:val="20"/>
              </w:rPr>
              <w:t>Этаж</w:t>
            </w:r>
          </w:p>
        </w:tc>
        <w:tc>
          <w:tcPr>
            <w:tcW w:w="1984" w:type="dxa"/>
            <w:tcBorders>
              <w:top w:val="single" w:sz="4" w:space="0" w:color="auto"/>
              <w:left w:val="single" w:sz="4" w:space="0" w:color="auto"/>
              <w:bottom w:val="single" w:sz="4" w:space="0" w:color="000000"/>
              <w:right w:val="single" w:sz="4" w:space="0" w:color="auto"/>
            </w:tcBorders>
            <w:vAlign w:val="center"/>
          </w:tcPr>
          <w:p w:rsidR="008D1750" w:rsidRPr="007260A1" w:rsidRDefault="007F2A16" w:rsidP="007F2A16">
            <w:pPr>
              <w:autoSpaceDE w:val="0"/>
              <w:snapToGrid w:val="0"/>
              <w:ind w:right="4"/>
              <w:jc w:val="center"/>
              <w:rPr>
                <w:b/>
                <w:sz w:val="20"/>
                <w:szCs w:val="20"/>
              </w:rPr>
            </w:pPr>
            <w:r>
              <w:rPr>
                <w:b/>
                <w:sz w:val="20"/>
                <w:szCs w:val="20"/>
              </w:rPr>
              <w:t>Проектная п</w:t>
            </w:r>
            <w:r w:rsidR="008D1750" w:rsidRPr="007260A1">
              <w:rPr>
                <w:b/>
                <w:sz w:val="20"/>
                <w:szCs w:val="20"/>
              </w:rPr>
              <w:t>лощадь квартиры (без учета лоджий и балконов)</w:t>
            </w: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1.</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8D1750">
            <w:pPr>
              <w:autoSpaceDE w:val="0"/>
              <w:snapToGrid w:val="0"/>
              <w:ind w:left="178" w:right="-22" w:hanging="178"/>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Pr>
                <w:b/>
                <w:sz w:val="20"/>
                <w:szCs w:val="20"/>
              </w:rPr>
              <w:t>2</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ind w:right="-22"/>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8D1750" w:rsidRPr="007260A1" w:rsidTr="00397523">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Pr>
                <w:b/>
                <w:sz w:val="20"/>
                <w:szCs w:val="20"/>
              </w:rPr>
              <w:t>3</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ind w:right="-22"/>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397523" w:rsidRPr="007260A1" w:rsidTr="00B94A82">
        <w:trPr>
          <w:trHeight w:val="343"/>
        </w:trPr>
        <w:tc>
          <w:tcPr>
            <w:tcW w:w="6984" w:type="dxa"/>
            <w:gridSpan w:val="6"/>
            <w:tcBorders>
              <w:top w:val="single" w:sz="4" w:space="0" w:color="000000"/>
              <w:left w:val="single" w:sz="4" w:space="0" w:color="000000"/>
              <w:bottom w:val="single" w:sz="4" w:space="0" w:color="000000"/>
              <w:right w:val="single" w:sz="4" w:space="0" w:color="auto"/>
            </w:tcBorders>
            <w:vAlign w:val="center"/>
          </w:tcPr>
          <w:p w:rsidR="00397523" w:rsidRPr="007260A1" w:rsidRDefault="00397523" w:rsidP="00397523">
            <w:pPr>
              <w:autoSpaceDE w:val="0"/>
              <w:snapToGrid w:val="0"/>
              <w:ind w:right="-22"/>
              <w:jc w:val="right"/>
              <w:rPr>
                <w:sz w:val="20"/>
                <w:szCs w:val="20"/>
              </w:rPr>
            </w:pPr>
            <w:r>
              <w:rPr>
                <w:b/>
                <w:sz w:val="20"/>
                <w:szCs w:val="20"/>
              </w:rPr>
              <w:t>Итого:</w:t>
            </w:r>
          </w:p>
        </w:tc>
        <w:tc>
          <w:tcPr>
            <w:tcW w:w="1984" w:type="dxa"/>
            <w:tcBorders>
              <w:top w:val="single" w:sz="4" w:space="0" w:color="000000"/>
              <w:left w:val="single" w:sz="4" w:space="0" w:color="auto"/>
              <w:bottom w:val="single" w:sz="4" w:space="0" w:color="auto"/>
              <w:right w:val="single" w:sz="4" w:space="0" w:color="auto"/>
            </w:tcBorders>
            <w:vAlign w:val="center"/>
          </w:tcPr>
          <w:p w:rsidR="00397523" w:rsidRPr="007260A1" w:rsidRDefault="00397523" w:rsidP="00B53C69">
            <w:pPr>
              <w:autoSpaceDE w:val="0"/>
              <w:snapToGrid w:val="0"/>
              <w:ind w:right="-22"/>
              <w:jc w:val="center"/>
              <w:rPr>
                <w:b/>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B83258" w:rsidRPr="00043F1D" w:rsidRDefault="00B83258" w:rsidP="00B83258">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043F1D" w:rsidRDefault="00043F1D" w:rsidP="00B83258">
      <w:pPr>
        <w:pStyle w:val="ConsPlusNormal"/>
        <w:widowControl/>
        <w:tabs>
          <w:tab w:val="left" w:pos="360"/>
        </w:tabs>
        <w:spacing w:before="120" w:after="120"/>
        <w:ind w:firstLine="0"/>
        <w:rPr>
          <w:rFonts w:ascii="Times New Roman" w:hAnsi="Times New Roman" w:cs="Times New Roman"/>
          <w:b/>
          <w:bCs/>
          <w:sz w:val="24"/>
          <w:szCs w:val="24"/>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1428F0">
        <w:t>52 916,00</w:t>
      </w:r>
      <w:r w:rsidR="00454B16">
        <w:t xml:space="preserve"> руб.</w:t>
      </w:r>
    </w:p>
    <w:p w:rsidR="00454B16" w:rsidRPr="00830410" w:rsidRDefault="00454B16" w:rsidP="00830410">
      <w:pPr>
        <w:ind w:firstLine="540"/>
        <w:rPr>
          <w:b/>
          <w:u w:val="single"/>
        </w:rPr>
      </w:pPr>
      <w:r w:rsidRPr="00830410">
        <w:rPr>
          <w:b/>
          <w:u w:val="single"/>
        </w:rPr>
        <w:t>Расчет НМЦК</w:t>
      </w:r>
      <w:r w:rsidR="00397523">
        <w:rPr>
          <w:b/>
          <w:u w:val="single"/>
        </w:rPr>
        <w:t xml:space="preserve"> за 3 квартиры</w:t>
      </w:r>
      <w:r w:rsidRPr="00830410">
        <w:rPr>
          <w:b/>
          <w:u w:val="single"/>
        </w:rPr>
        <w:t xml:space="preserve">: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1F482A">
        <w:rPr>
          <w:b/>
        </w:rPr>
        <w:t xml:space="preserve"> НМЦК = 17</w:t>
      </w:r>
      <w:r w:rsidR="001E2E13">
        <w:rPr>
          <w:b/>
        </w:rPr>
        <w:t>5,0</w:t>
      </w:r>
      <w:r w:rsidR="000E39BC">
        <w:rPr>
          <w:b/>
        </w:rPr>
        <w:t xml:space="preserve">* 52 916,00 руб. = </w:t>
      </w:r>
      <w:r w:rsidR="00211AE5">
        <w:rPr>
          <w:b/>
        </w:rPr>
        <w:t>9</w:t>
      </w:r>
      <w:r w:rsidR="001E2E13">
        <w:rPr>
          <w:b/>
        </w:rPr>
        <w:t> </w:t>
      </w:r>
      <w:r w:rsidR="001F482A">
        <w:rPr>
          <w:b/>
        </w:rPr>
        <w:t>2</w:t>
      </w:r>
      <w:r w:rsidR="001E2E13">
        <w:rPr>
          <w:b/>
        </w:rPr>
        <w:t>60 300,0</w:t>
      </w:r>
      <w:r w:rsidR="00211AE5">
        <w:rPr>
          <w:b/>
        </w:rPr>
        <w:t xml:space="preserve">0 </w:t>
      </w:r>
      <w:r>
        <w:rPr>
          <w:b/>
        </w:rPr>
        <w:t>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1B6B20" w:rsidRPr="00C27508" w:rsidRDefault="00043F1D" w:rsidP="00211AE5">
      <w:pPr>
        <w:spacing w:after="200"/>
        <w:jc w:val="left"/>
        <w:rPr>
          <w:b/>
        </w:rPr>
        <w:sectPr w:rsidR="001B6B20" w:rsidRPr="00C27508" w:rsidSect="004D448F">
          <w:footerReference w:type="even" r:id="rId11"/>
          <w:footerReference w:type="default" r:id="rId12"/>
          <w:pgSz w:w="11906" w:h="16838"/>
          <w:pgMar w:top="902" w:right="567" w:bottom="993" w:left="1134" w:header="709" w:footer="709" w:gutter="0"/>
          <w:cols w:space="708"/>
          <w:titlePg/>
          <w:docGrid w:linePitch="360"/>
        </w:sect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211AE5">
        <w:rPr>
          <w:b/>
        </w:rPr>
        <w:t xml:space="preserve">М.Л. </w:t>
      </w:r>
      <w:proofErr w:type="spellStart"/>
      <w:r w:rsidR="00211AE5">
        <w:rPr>
          <w:b/>
        </w:rPr>
        <w:t>Прошкина</w:t>
      </w:r>
      <w:proofErr w:type="spellEnd"/>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B50" w:rsidRDefault="00756B50">
      <w:pPr>
        <w:spacing w:after="0"/>
      </w:pPr>
      <w:r>
        <w:separator/>
      </w:r>
    </w:p>
  </w:endnote>
  <w:endnote w:type="continuationSeparator" w:id="0">
    <w:p w:rsidR="00756B50" w:rsidRDefault="00756B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56" w:rsidRDefault="00FE465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E4656" w:rsidRDefault="00FE4656"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56" w:rsidRDefault="00FE465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A5851">
      <w:rPr>
        <w:rStyle w:val="a7"/>
        <w:noProof/>
      </w:rPr>
      <w:t>7</w:t>
    </w:r>
    <w:r>
      <w:rPr>
        <w:rStyle w:val="a7"/>
      </w:rPr>
      <w:fldChar w:fldCharType="end"/>
    </w:r>
  </w:p>
  <w:p w:rsidR="00FE4656" w:rsidRDefault="00FE4656"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B50" w:rsidRDefault="00756B50">
      <w:pPr>
        <w:spacing w:after="0"/>
      </w:pPr>
      <w:r>
        <w:separator/>
      </w:r>
    </w:p>
  </w:footnote>
  <w:footnote w:type="continuationSeparator" w:id="0">
    <w:p w:rsidR="00756B50" w:rsidRDefault="00756B50">
      <w:pPr>
        <w:spacing w:after="0"/>
      </w:pPr>
      <w:r>
        <w:continuationSeparator/>
      </w:r>
    </w:p>
  </w:footnote>
  <w:footnote w:id="1">
    <w:p w:rsidR="00FE4656" w:rsidRPr="007F791F" w:rsidRDefault="00FE4656"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FE4656" w:rsidRDefault="00FE4656" w:rsidP="00043F1D">
      <w:pPr>
        <w:autoSpaceDE w:val="0"/>
        <w:autoSpaceDN w:val="0"/>
        <w:adjustRightInd w:val="0"/>
      </w:pPr>
    </w:p>
  </w:footnote>
  <w:footnote w:id="2">
    <w:p w:rsidR="00FE4656" w:rsidRDefault="00FE4656"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FE4656" w:rsidRDefault="00FE4656" w:rsidP="00043F1D">
      <w:pPr>
        <w:rPr>
          <w:sz w:val="18"/>
        </w:rPr>
      </w:pPr>
      <w:bookmarkStart w:id="36" w:name="sub_1041"/>
      <w:r>
        <w:rPr>
          <w:sz w:val="18"/>
        </w:rPr>
        <w:t>а) 10 процентов цены контракта в случае, если цена контракта не превышает 3 млн. рублей;</w:t>
      </w:r>
    </w:p>
    <w:p w:rsidR="00FE4656" w:rsidRDefault="00FE4656" w:rsidP="00043F1D">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FE4656" w:rsidRDefault="00FE4656" w:rsidP="00043F1D">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FE4656" w:rsidRPr="00C863C6" w:rsidRDefault="00FE4656" w:rsidP="00043F1D">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FE4656" w:rsidRDefault="00FE4656" w:rsidP="00043F1D">
      <w:pPr>
        <w:pStyle w:val="af4"/>
      </w:pPr>
    </w:p>
  </w:footnote>
  <w:footnote w:id="3">
    <w:p w:rsidR="00FE4656" w:rsidRDefault="00FE4656" w:rsidP="00043F1D">
      <w:pPr>
        <w:pStyle w:val="af4"/>
      </w:pPr>
      <w:r>
        <w:rPr>
          <w:rStyle w:val="af6"/>
        </w:rPr>
        <w:footnoteRef/>
      </w:r>
      <w:r>
        <w:t xml:space="preserve"> </w:t>
      </w:r>
      <w:r>
        <w:rPr>
          <w:rStyle w:val="af6"/>
        </w:rPr>
        <w:t xml:space="preserve"> </w:t>
      </w:r>
    </w:p>
    <w:p w:rsidR="00FE4656" w:rsidRPr="00F75BC0" w:rsidRDefault="00FE4656"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FE4656" w:rsidRPr="00F75BC0" w:rsidRDefault="00FE4656" w:rsidP="00043F1D">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FE4656" w:rsidRPr="00F75BC0" w:rsidRDefault="00FE4656" w:rsidP="00043F1D">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FE4656" w:rsidRPr="00F75BC0" w:rsidRDefault="00FE4656" w:rsidP="00043F1D">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FE4656" w:rsidRPr="00F75BC0" w:rsidRDefault="00FE4656" w:rsidP="00043F1D">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FE4656" w:rsidRDefault="00FE4656" w:rsidP="00043F1D">
      <w:pPr>
        <w:pStyle w:val="af4"/>
        <w:spacing w:after="0"/>
      </w:pPr>
    </w:p>
    <w:p w:rsidR="00FE4656" w:rsidRDefault="00FE4656"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B57C7"/>
    <w:rsid w:val="000C48CD"/>
    <w:rsid w:val="000C7EC1"/>
    <w:rsid w:val="000D102D"/>
    <w:rsid w:val="000D4691"/>
    <w:rsid w:val="000D7611"/>
    <w:rsid w:val="000E0ECC"/>
    <w:rsid w:val="000E2631"/>
    <w:rsid w:val="000E39BC"/>
    <w:rsid w:val="000E4BD6"/>
    <w:rsid w:val="000E735A"/>
    <w:rsid w:val="000F0941"/>
    <w:rsid w:val="000F27C7"/>
    <w:rsid w:val="000F2A1F"/>
    <w:rsid w:val="000F73D4"/>
    <w:rsid w:val="000F7BF0"/>
    <w:rsid w:val="001041EC"/>
    <w:rsid w:val="00110020"/>
    <w:rsid w:val="0011203A"/>
    <w:rsid w:val="00113996"/>
    <w:rsid w:val="0011613C"/>
    <w:rsid w:val="001230BE"/>
    <w:rsid w:val="001321CF"/>
    <w:rsid w:val="001428F0"/>
    <w:rsid w:val="0014386B"/>
    <w:rsid w:val="00146969"/>
    <w:rsid w:val="00147609"/>
    <w:rsid w:val="00150FC3"/>
    <w:rsid w:val="00154306"/>
    <w:rsid w:val="00164CCD"/>
    <w:rsid w:val="00167A0F"/>
    <w:rsid w:val="00171BF2"/>
    <w:rsid w:val="00182F9C"/>
    <w:rsid w:val="0018469C"/>
    <w:rsid w:val="001900DE"/>
    <w:rsid w:val="001929B8"/>
    <w:rsid w:val="00196F6E"/>
    <w:rsid w:val="00197BCE"/>
    <w:rsid w:val="001A28F5"/>
    <w:rsid w:val="001A3D27"/>
    <w:rsid w:val="001B1367"/>
    <w:rsid w:val="001B2BFC"/>
    <w:rsid w:val="001B6B20"/>
    <w:rsid w:val="001B7983"/>
    <w:rsid w:val="001C252B"/>
    <w:rsid w:val="001C48E1"/>
    <w:rsid w:val="001D1B09"/>
    <w:rsid w:val="001D2B2B"/>
    <w:rsid w:val="001D708D"/>
    <w:rsid w:val="001E154F"/>
    <w:rsid w:val="001E2E13"/>
    <w:rsid w:val="001E589C"/>
    <w:rsid w:val="001F13A4"/>
    <w:rsid w:val="001F482A"/>
    <w:rsid w:val="001F5733"/>
    <w:rsid w:val="001F6398"/>
    <w:rsid w:val="002018BD"/>
    <w:rsid w:val="0020203C"/>
    <w:rsid w:val="00205EC3"/>
    <w:rsid w:val="00207D10"/>
    <w:rsid w:val="002113DA"/>
    <w:rsid w:val="00211AE5"/>
    <w:rsid w:val="00211E90"/>
    <w:rsid w:val="002122AF"/>
    <w:rsid w:val="002178A9"/>
    <w:rsid w:val="002255B3"/>
    <w:rsid w:val="002256F2"/>
    <w:rsid w:val="002259C6"/>
    <w:rsid w:val="0023332A"/>
    <w:rsid w:val="002424FA"/>
    <w:rsid w:val="002432FF"/>
    <w:rsid w:val="00247A69"/>
    <w:rsid w:val="00254754"/>
    <w:rsid w:val="00261C32"/>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72D"/>
    <w:rsid w:val="002F18C5"/>
    <w:rsid w:val="002F3FF0"/>
    <w:rsid w:val="002F4196"/>
    <w:rsid w:val="002F5B13"/>
    <w:rsid w:val="002F6490"/>
    <w:rsid w:val="002F7A06"/>
    <w:rsid w:val="00303EC0"/>
    <w:rsid w:val="003053BB"/>
    <w:rsid w:val="00305D8E"/>
    <w:rsid w:val="003137B2"/>
    <w:rsid w:val="00314A5E"/>
    <w:rsid w:val="00316452"/>
    <w:rsid w:val="00317F1F"/>
    <w:rsid w:val="00324DC9"/>
    <w:rsid w:val="00326B22"/>
    <w:rsid w:val="00330A24"/>
    <w:rsid w:val="0033380A"/>
    <w:rsid w:val="003442E4"/>
    <w:rsid w:val="0034494C"/>
    <w:rsid w:val="003518E3"/>
    <w:rsid w:val="00352669"/>
    <w:rsid w:val="003526F9"/>
    <w:rsid w:val="00362ED9"/>
    <w:rsid w:val="0037404E"/>
    <w:rsid w:val="003775A7"/>
    <w:rsid w:val="003806F9"/>
    <w:rsid w:val="00381727"/>
    <w:rsid w:val="003919EA"/>
    <w:rsid w:val="003958B1"/>
    <w:rsid w:val="00397523"/>
    <w:rsid w:val="00397740"/>
    <w:rsid w:val="003A31F5"/>
    <w:rsid w:val="003A3922"/>
    <w:rsid w:val="003A3C6A"/>
    <w:rsid w:val="003A4238"/>
    <w:rsid w:val="003C70FE"/>
    <w:rsid w:val="003E0E26"/>
    <w:rsid w:val="003E3DD7"/>
    <w:rsid w:val="003F7404"/>
    <w:rsid w:val="00400FD8"/>
    <w:rsid w:val="004073E7"/>
    <w:rsid w:val="004078A2"/>
    <w:rsid w:val="004215F8"/>
    <w:rsid w:val="00432AEB"/>
    <w:rsid w:val="00436B97"/>
    <w:rsid w:val="00446CEF"/>
    <w:rsid w:val="00450031"/>
    <w:rsid w:val="00450832"/>
    <w:rsid w:val="00451778"/>
    <w:rsid w:val="004535F1"/>
    <w:rsid w:val="00454B16"/>
    <w:rsid w:val="004557D6"/>
    <w:rsid w:val="004622DF"/>
    <w:rsid w:val="004641E0"/>
    <w:rsid w:val="004730AB"/>
    <w:rsid w:val="004766CD"/>
    <w:rsid w:val="004916F0"/>
    <w:rsid w:val="00491720"/>
    <w:rsid w:val="004927C3"/>
    <w:rsid w:val="00494BBA"/>
    <w:rsid w:val="00497897"/>
    <w:rsid w:val="004A460F"/>
    <w:rsid w:val="004A5851"/>
    <w:rsid w:val="004D448F"/>
    <w:rsid w:val="004D6819"/>
    <w:rsid w:val="004E5FC9"/>
    <w:rsid w:val="004E6FF1"/>
    <w:rsid w:val="00503EB4"/>
    <w:rsid w:val="00504D77"/>
    <w:rsid w:val="00505FFD"/>
    <w:rsid w:val="00515E20"/>
    <w:rsid w:val="00521648"/>
    <w:rsid w:val="00532211"/>
    <w:rsid w:val="00532556"/>
    <w:rsid w:val="00536E06"/>
    <w:rsid w:val="005401AE"/>
    <w:rsid w:val="00550DA6"/>
    <w:rsid w:val="0056002D"/>
    <w:rsid w:val="00562328"/>
    <w:rsid w:val="0057728B"/>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318BE"/>
    <w:rsid w:val="006434D2"/>
    <w:rsid w:val="00644E51"/>
    <w:rsid w:val="00646ACF"/>
    <w:rsid w:val="006478E5"/>
    <w:rsid w:val="006608E8"/>
    <w:rsid w:val="00663971"/>
    <w:rsid w:val="0066452A"/>
    <w:rsid w:val="006646DD"/>
    <w:rsid w:val="00665F17"/>
    <w:rsid w:val="0066764C"/>
    <w:rsid w:val="006719C3"/>
    <w:rsid w:val="00672A65"/>
    <w:rsid w:val="00674988"/>
    <w:rsid w:val="00674C24"/>
    <w:rsid w:val="00675CF5"/>
    <w:rsid w:val="006A0AFC"/>
    <w:rsid w:val="006A1B91"/>
    <w:rsid w:val="006A64AF"/>
    <w:rsid w:val="006A6C8E"/>
    <w:rsid w:val="006B1F39"/>
    <w:rsid w:val="006B3AC1"/>
    <w:rsid w:val="006C101C"/>
    <w:rsid w:val="006C2D2D"/>
    <w:rsid w:val="006C4C22"/>
    <w:rsid w:val="006C635A"/>
    <w:rsid w:val="006C7449"/>
    <w:rsid w:val="006D2743"/>
    <w:rsid w:val="006D384C"/>
    <w:rsid w:val="006D6593"/>
    <w:rsid w:val="006E012E"/>
    <w:rsid w:val="006E2615"/>
    <w:rsid w:val="006E3D66"/>
    <w:rsid w:val="006E5A09"/>
    <w:rsid w:val="006E6CD5"/>
    <w:rsid w:val="006F08DC"/>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56B50"/>
    <w:rsid w:val="00764B4C"/>
    <w:rsid w:val="00770ED7"/>
    <w:rsid w:val="00776545"/>
    <w:rsid w:val="007816EE"/>
    <w:rsid w:val="00783169"/>
    <w:rsid w:val="007A6923"/>
    <w:rsid w:val="007A7ADA"/>
    <w:rsid w:val="007C563F"/>
    <w:rsid w:val="007E04CA"/>
    <w:rsid w:val="007E0C08"/>
    <w:rsid w:val="007E3887"/>
    <w:rsid w:val="007E5D7C"/>
    <w:rsid w:val="007F2A16"/>
    <w:rsid w:val="0081191D"/>
    <w:rsid w:val="00824693"/>
    <w:rsid w:val="00830410"/>
    <w:rsid w:val="008304E6"/>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69BD"/>
    <w:rsid w:val="008A2AE7"/>
    <w:rsid w:val="008A2B53"/>
    <w:rsid w:val="008A427B"/>
    <w:rsid w:val="008B5C65"/>
    <w:rsid w:val="008B5F79"/>
    <w:rsid w:val="008C0646"/>
    <w:rsid w:val="008C7B27"/>
    <w:rsid w:val="008D1750"/>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02EE"/>
    <w:rsid w:val="00941AA7"/>
    <w:rsid w:val="0094794E"/>
    <w:rsid w:val="00957F62"/>
    <w:rsid w:val="0096022F"/>
    <w:rsid w:val="00960B83"/>
    <w:rsid w:val="00960BED"/>
    <w:rsid w:val="00962117"/>
    <w:rsid w:val="0096291A"/>
    <w:rsid w:val="00972499"/>
    <w:rsid w:val="00974F48"/>
    <w:rsid w:val="00977AC7"/>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13B1E"/>
    <w:rsid w:val="00A25C3E"/>
    <w:rsid w:val="00A32BFB"/>
    <w:rsid w:val="00A3320A"/>
    <w:rsid w:val="00A407C4"/>
    <w:rsid w:val="00A451F6"/>
    <w:rsid w:val="00A45B8E"/>
    <w:rsid w:val="00A47D4A"/>
    <w:rsid w:val="00A50EE8"/>
    <w:rsid w:val="00A51212"/>
    <w:rsid w:val="00A605EB"/>
    <w:rsid w:val="00A631BF"/>
    <w:rsid w:val="00A657B0"/>
    <w:rsid w:val="00A709D8"/>
    <w:rsid w:val="00A734DE"/>
    <w:rsid w:val="00A80B2D"/>
    <w:rsid w:val="00A80CBF"/>
    <w:rsid w:val="00A83A0D"/>
    <w:rsid w:val="00A87D96"/>
    <w:rsid w:val="00A95A52"/>
    <w:rsid w:val="00A96042"/>
    <w:rsid w:val="00AA27C5"/>
    <w:rsid w:val="00AA65E8"/>
    <w:rsid w:val="00AA75FC"/>
    <w:rsid w:val="00AB1DEE"/>
    <w:rsid w:val="00AB2034"/>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046"/>
    <w:rsid w:val="00B45A99"/>
    <w:rsid w:val="00B46076"/>
    <w:rsid w:val="00B46C7B"/>
    <w:rsid w:val="00B537B2"/>
    <w:rsid w:val="00B53C69"/>
    <w:rsid w:val="00B53C87"/>
    <w:rsid w:val="00B5503E"/>
    <w:rsid w:val="00B67855"/>
    <w:rsid w:val="00B75A87"/>
    <w:rsid w:val="00B7648F"/>
    <w:rsid w:val="00B76C3F"/>
    <w:rsid w:val="00B83068"/>
    <w:rsid w:val="00B83258"/>
    <w:rsid w:val="00B842D7"/>
    <w:rsid w:val="00B84546"/>
    <w:rsid w:val="00B858D0"/>
    <w:rsid w:val="00B85A25"/>
    <w:rsid w:val="00B90ECE"/>
    <w:rsid w:val="00B92AD1"/>
    <w:rsid w:val="00B94A82"/>
    <w:rsid w:val="00BA1415"/>
    <w:rsid w:val="00BA2C4F"/>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4F7E"/>
    <w:rsid w:val="00C27508"/>
    <w:rsid w:val="00C333D0"/>
    <w:rsid w:val="00C3799E"/>
    <w:rsid w:val="00C41CA1"/>
    <w:rsid w:val="00C46CCB"/>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D3B27"/>
    <w:rsid w:val="00CE185A"/>
    <w:rsid w:val="00CF3B3E"/>
    <w:rsid w:val="00CF46C4"/>
    <w:rsid w:val="00D151B9"/>
    <w:rsid w:val="00D2021A"/>
    <w:rsid w:val="00D20E0B"/>
    <w:rsid w:val="00D21846"/>
    <w:rsid w:val="00D22B1E"/>
    <w:rsid w:val="00D231D0"/>
    <w:rsid w:val="00D269D7"/>
    <w:rsid w:val="00D26A2E"/>
    <w:rsid w:val="00D315EB"/>
    <w:rsid w:val="00D6135A"/>
    <w:rsid w:val="00D622AD"/>
    <w:rsid w:val="00D629B0"/>
    <w:rsid w:val="00D67B13"/>
    <w:rsid w:val="00D72D31"/>
    <w:rsid w:val="00D746BB"/>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451F"/>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B276B"/>
    <w:rsid w:val="00EC0888"/>
    <w:rsid w:val="00EC3DF6"/>
    <w:rsid w:val="00EC3EF8"/>
    <w:rsid w:val="00ED222B"/>
    <w:rsid w:val="00ED3116"/>
    <w:rsid w:val="00ED7C28"/>
    <w:rsid w:val="00ED7E64"/>
    <w:rsid w:val="00EE1DB3"/>
    <w:rsid w:val="00EF0802"/>
    <w:rsid w:val="00EF0951"/>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97BDE"/>
    <w:rsid w:val="00FA4E21"/>
    <w:rsid w:val="00FA7312"/>
    <w:rsid w:val="00FA73F1"/>
    <w:rsid w:val="00FB482A"/>
    <w:rsid w:val="00FB4EA8"/>
    <w:rsid w:val="00FB50FB"/>
    <w:rsid w:val="00FB65A4"/>
    <w:rsid w:val="00FC2FFE"/>
    <w:rsid w:val="00FD6952"/>
    <w:rsid w:val="00FD7313"/>
    <w:rsid w:val="00FD7636"/>
    <w:rsid w:val="00FE156B"/>
    <w:rsid w:val="00FE1C1C"/>
    <w:rsid w:val="00FE4656"/>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4423F-9727-4DF4-A7E4-FE889FF5B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32</Pages>
  <Words>11494</Words>
  <Characters>65516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95</cp:revision>
  <cp:lastPrinted>2015-09-09T11:54:00Z</cp:lastPrinted>
  <dcterms:created xsi:type="dcterms:W3CDTF">2015-03-30T09:50:00Z</dcterms:created>
  <dcterms:modified xsi:type="dcterms:W3CDTF">2015-09-18T10:39:00Z</dcterms:modified>
</cp:coreProperties>
</file>