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EC03EE" w:rsidRDefault="00852CC8" w:rsidP="00B551F6">
            <w:pPr>
              <w:keepNext/>
              <w:keepLines/>
              <w:widowControl w:val="0"/>
              <w:suppressLineNumbers/>
              <w:suppressAutoHyphens/>
            </w:pPr>
            <w:r>
              <w:t>18386220114908622010011022009</w:t>
            </w:r>
            <w:r w:rsidR="00B551F6" w:rsidRPr="00EC03EE">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A25A9">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BB1B12">
              <w:t>12</w:t>
            </w:r>
            <w:r w:rsidRPr="00BD720A">
              <w:t>» </w:t>
            </w:r>
            <w:r w:rsidR="00BB1B12">
              <w:t xml:space="preserve">марта     </w:t>
            </w:r>
            <w:r w:rsidR="00BB1B12">
              <w:rPr>
                <w:rFonts w:cs="Arial"/>
                <w:sz w:val="22"/>
                <w:szCs w:val="22"/>
              </w:rPr>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BB1B12">
              <w:t>18</w:t>
            </w:r>
            <w:r w:rsidR="00A05A73" w:rsidRPr="00BD720A">
              <w:t>»</w:t>
            </w:r>
            <w:r w:rsidR="00AB07FF" w:rsidRPr="00BD720A">
              <w:t xml:space="preserve">  </w:t>
            </w:r>
            <w:r w:rsidR="00BB1B12">
              <w:t xml:space="preserve">марта     </w:t>
            </w:r>
            <w:r w:rsidR="00BB1B12">
              <w:rPr>
                <w:rFonts w:cs="Arial"/>
                <w:sz w:val="22"/>
                <w:szCs w:val="22"/>
              </w:rPr>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BB1B12">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BB1B12">
              <w:t>20</w:t>
            </w:r>
            <w:r w:rsidR="00A05A73" w:rsidRPr="00BD720A">
              <w:t>» </w:t>
            </w:r>
            <w:r w:rsidR="00AB07FF" w:rsidRPr="00BD720A">
              <w:t xml:space="preserve">   </w:t>
            </w:r>
            <w:r w:rsidR="00BB1B12">
              <w:t xml:space="preserve">марта     </w:t>
            </w:r>
            <w:r w:rsidR="00BB1B12">
              <w:rPr>
                <w:rFonts w:cs="Arial"/>
                <w:sz w:val="22"/>
                <w:szCs w:val="22"/>
              </w:rPr>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0C36C8">
            <w:pPr>
              <w:spacing w:line="276" w:lineRule="auto"/>
            </w:pPr>
            <w:r w:rsidRPr="00BD720A">
              <w:t>«</w:t>
            </w:r>
            <w:r w:rsidR="000C36C8">
              <w:t>22</w:t>
            </w:r>
            <w:r w:rsidR="00A05A73" w:rsidRPr="00BD720A">
              <w:t>»</w:t>
            </w:r>
            <w:r w:rsidR="000C36C8">
              <w:t xml:space="preserve">  </w:t>
            </w:r>
            <w:r w:rsidR="00AB07FF" w:rsidRPr="00BD720A">
              <w:t xml:space="preserve"> </w:t>
            </w:r>
            <w:r w:rsidR="00BB1B12">
              <w:t xml:space="preserve">марта     </w:t>
            </w:r>
            <w:r w:rsidR="00BB1B12">
              <w:rPr>
                <w:rFonts w:cs="Arial"/>
                <w:sz w:val="22"/>
                <w:szCs w:val="22"/>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0C36C8">
            <w:pPr>
              <w:spacing w:line="276" w:lineRule="auto"/>
            </w:pPr>
            <w:r w:rsidRPr="00BD720A">
              <w:t>«</w:t>
            </w:r>
            <w:r w:rsidR="000C36C8">
              <w:t>26</w:t>
            </w:r>
            <w:r w:rsidRPr="00BD720A">
              <w:t>»</w:t>
            </w:r>
            <w:r w:rsidR="000C36C8">
              <w:t xml:space="preserve"> </w:t>
            </w:r>
            <w:r w:rsidR="00E06385" w:rsidRPr="00BD720A">
              <w:t xml:space="preserve"> </w:t>
            </w:r>
            <w:r w:rsidR="00BB1B12">
              <w:t xml:space="preserve">марта     </w:t>
            </w:r>
            <w:r w:rsidR="00BB1B12">
              <w:rPr>
                <w:rFonts w:cs="Arial"/>
                <w:sz w:val="22"/>
                <w:szCs w:val="22"/>
              </w:rPr>
              <w:t xml:space="preserve">  </w:t>
            </w:r>
            <w:bookmarkStart w:id="13" w:name="_GoBack"/>
            <w:bookmarkEnd w:id="13"/>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0C36C8" w:rsidRDefault="003F0F3A" w:rsidP="003F0F3A">
            <w:pPr>
              <w:suppressAutoHyphens/>
              <w:snapToGrid w:val="0"/>
              <w:rPr>
                <w:kern w:val="1"/>
                <w:lang w:eastAsia="ar-SA"/>
              </w:rPr>
            </w:pPr>
            <w:r w:rsidRPr="00BD720A">
              <w:rPr>
                <w:kern w:val="1"/>
                <w:lang w:eastAsia="ar-SA"/>
              </w:rPr>
              <w:lastRenderedPageBreak/>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ное обозначение) (при наличии), знак обслуживания (при наличии), фирменное наименование (</w:t>
            </w:r>
            <w:r w:rsidRPr="000C36C8">
              <w:rPr>
                <w:kern w:val="1"/>
                <w:lang w:eastAsia="ar-SA"/>
              </w:rPr>
              <w:t xml:space="preserve">при наличии), патенты (при наличии), полезные модели (при наличии), промышленные образцы (при наличии), </w:t>
            </w:r>
            <w:r w:rsidRPr="000C36C8">
              <w:t>наименование страны происхождения товара</w:t>
            </w:r>
            <w:r w:rsidRPr="000C36C8">
              <w:rPr>
                <w:kern w:val="1"/>
                <w:lang w:eastAsia="ar-SA"/>
              </w:rPr>
              <w:t>.</w:t>
            </w:r>
            <w:proofErr w:type="gramEnd"/>
          </w:p>
          <w:p w:rsidR="00214E8D" w:rsidRPr="00BD720A" w:rsidRDefault="00214E8D" w:rsidP="00214E8D">
            <w:pPr>
              <w:ind w:firstLine="585"/>
            </w:pPr>
            <w:r w:rsidRPr="000C36C8">
              <w:t>Участник закупки также указывает страну происхождения товара* в случае,</w:t>
            </w:r>
            <w:r w:rsidRPr="00BD720A">
              <w:t xml:space="preserve">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BD720A">
              <w:rPr>
                <w:kern w:val="1"/>
                <w:lang w:eastAsia="ar-SA"/>
              </w:rPr>
              <w:lastRenderedPageBreak/>
              <w:t>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0C36C8"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D13C0D" w:rsidRPr="000C36C8"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0C36C8" w:rsidRDefault="00D13C0D" w:rsidP="00D13C0D">
            <w:pPr>
              <w:numPr>
                <w:ilvl w:val="0"/>
                <w:numId w:val="14"/>
              </w:numPr>
              <w:suppressAutoHyphens/>
              <w:ind w:left="33"/>
            </w:pPr>
            <w:r w:rsidRPr="000C36C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D720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w:t>
            </w:r>
            <w:r w:rsidRPr="00BD720A">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w:t>
            </w:r>
            <w:r w:rsidRPr="00BD720A">
              <w:rPr>
                <w:bCs/>
              </w:rPr>
              <w:lastRenderedPageBreak/>
              <w:t>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D13C0D" w:rsidRPr="000C36C8" w:rsidRDefault="00D13C0D" w:rsidP="007E0695">
            <w:pPr>
              <w:autoSpaceDE w:val="0"/>
              <w:autoSpaceDN w:val="0"/>
              <w:rPr>
                <w:b/>
                <w:bCs/>
              </w:rPr>
            </w:pPr>
            <w:r w:rsidRPr="000C36C8">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0C36C8">
              <w:t>При предоставлении</w:t>
            </w:r>
            <w:r w:rsidRPr="00BD720A">
              <w:t xml:space="preserve">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BD720A">
              <w:lastRenderedPageBreak/>
              <w:t xml:space="preserve">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0C36C8"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w:t>
            </w:r>
            <w:r w:rsidRPr="000C36C8">
              <w:rPr>
                <w:kern w:val="1"/>
                <w:lang w:eastAsia="ar-SA"/>
              </w:rPr>
              <w:t>, предоставляемых заказчиком банку одновременно с требованием об осуществлении уплаты денежной суммы по банковской гарантии.</w:t>
            </w:r>
          </w:p>
          <w:p w:rsidR="00D13C0D" w:rsidRPr="000C36C8" w:rsidRDefault="00D13C0D" w:rsidP="00D13C0D">
            <w:pPr>
              <w:autoSpaceDE w:val="0"/>
              <w:autoSpaceDN w:val="0"/>
              <w:adjustRightInd w:val="0"/>
              <w:spacing w:after="0"/>
              <w:ind w:firstLine="540"/>
            </w:pPr>
            <w:r w:rsidRPr="000C36C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0C36C8">
              <w:rPr>
                <w:rFonts w:ascii="Times New Roman" w:hAnsi="Times New Roman"/>
                <w:b w:val="0"/>
                <w:bCs w:val="0"/>
                <w:kern w:val="1"/>
                <w:lang w:eastAsia="ar-SA"/>
              </w:rPr>
              <w:t>Требования к обеспечению исполнения контракта, предоставляемому в виде</w:t>
            </w:r>
            <w:r w:rsidRPr="00BD720A">
              <w:rPr>
                <w:rFonts w:ascii="Times New Roman" w:hAnsi="Times New Roman"/>
                <w:b w:val="0"/>
                <w:bCs w:val="0"/>
                <w:kern w:val="1"/>
                <w:lang w:eastAsia="ar-SA"/>
              </w:rPr>
              <w:t xml:space="preserve">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0C36C8" w:rsidRDefault="00E60056" w:rsidP="00536783">
            <w:r w:rsidRPr="000C36C8">
              <w:t>На</w:t>
            </w:r>
            <w:r w:rsidR="00536783" w:rsidRPr="000C36C8">
              <w:t xml:space="preserve">значение платежа: мероприятие 70.04.00. </w:t>
            </w:r>
            <w:r w:rsidRPr="000C36C8">
              <w:t xml:space="preserve">обеспечение  исполнения </w:t>
            </w:r>
            <w:r w:rsidR="00536783" w:rsidRPr="000C36C8">
              <w:t xml:space="preserve">муниципального контракта </w:t>
            </w:r>
            <w:r w:rsidRPr="000C36C8">
              <w:t>№</w:t>
            </w:r>
            <w:r w:rsidR="00B53C69" w:rsidRPr="000C36C8">
              <w:t>_____</w:t>
            </w:r>
            <w:r w:rsidR="00536783" w:rsidRPr="000C36C8">
              <w:t xml:space="preserve">______, </w:t>
            </w:r>
          </w:p>
          <w:p w:rsidR="00E60056" w:rsidRPr="003E61E1" w:rsidRDefault="00536783" w:rsidP="002B4C20">
            <w:pPr>
              <w:rPr>
                <w:color w:val="FF0000"/>
              </w:rPr>
            </w:pPr>
            <w:r w:rsidRPr="000C36C8">
              <w:t>ИК</w:t>
            </w:r>
            <w:r w:rsidR="00201B2A" w:rsidRPr="000C36C8">
              <w:t>З</w:t>
            </w:r>
            <w:r w:rsidR="00F13A9B" w:rsidRPr="000C36C8">
              <w:t xml:space="preserve"> № </w:t>
            </w:r>
            <w:r w:rsidR="008167BF" w:rsidRPr="000C36C8">
              <w:t>1838622011490862201001102200</w:t>
            </w:r>
            <w:r w:rsidR="00852CC8">
              <w:t>9</w:t>
            </w:r>
            <w:r w:rsidR="008B14C9" w:rsidRPr="000C36C8">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0C36C8"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6A58B8" w:rsidRDefault="00CA0B5C" w:rsidP="006A58B8">
      <w:pPr>
        <w:pStyle w:val="aff7"/>
        <w:rPr>
          <w:b/>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A40CEF" w:rsidRPr="006A58B8" w:rsidRDefault="0006534A" w:rsidP="001237B3">
      <w:pPr>
        <w:pStyle w:val="afc"/>
        <w:jc w:val="both"/>
        <w:rPr>
          <w:rFonts w:ascii="Times New Roman" w:hAnsi="Times New Roman"/>
          <w:sz w:val="16"/>
          <w:szCs w:val="16"/>
        </w:rPr>
      </w:pPr>
      <w:r w:rsidRPr="006A58B8">
        <w:rPr>
          <w:rFonts w:ascii="Times New Roman" w:hAnsi="Times New Roman"/>
          <w:b/>
          <w:sz w:val="16"/>
          <w:szCs w:val="16"/>
        </w:rPr>
        <w:t xml:space="preserve">Примечание: </w:t>
      </w:r>
      <w:r w:rsidRPr="006A58B8">
        <w:rPr>
          <w:rFonts w:ascii="Times New Roman" w:hAnsi="Times New Roman"/>
          <w:sz w:val="16"/>
          <w:szCs w:val="16"/>
        </w:rPr>
        <w:t xml:space="preserve"> В форме  предложения участник </w:t>
      </w:r>
      <w:r w:rsidR="000F5097" w:rsidRPr="006A58B8">
        <w:rPr>
          <w:rFonts w:ascii="Times New Roman" w:hAnsi="Times New Roman"/>
          <w:sz w:val="16"/>
          <w:szCs w:val="16"/>
        </w:rPr>
        <w:t>закупки</w:t>
      </w:r>
      <w:r w:rsidRPr="006A58B8">
        <w:rPr>
          <w:rFonts w:ascii="Times New Roman" w:hAnsi="Times New Roman"/>
          <w:sz w:val="16"/>
          <w:szCs w:val="16"/>
        </w:rPr>
        <w:t xml:space="preserve">  указывает </w:t>
      </w:r>
      <w:r w:rsidR="00EE32D7" w:rsidRPr="006A58B8">
        <w:rPr>
          <w:rFonts w:ascii="Times New Roman" w:hAnsi="Times New Roman"/>
          <w:sz w:val="16"/>
          <w:szCs w:val="16"/>
        </w:rPr>
        <w:t xml:space="preserve">наименование страны происхождения товара, </w:t>
      </w:r>
      <w:r w:rsidRPr="006A58B8">
        <w:rPr>
          <w:rFonts w:ascii="Times New Roman" w:hAnsi="Times New Roman"/>
          <w:sz w:val="16"/>
          <w:szCs w:val="16"/>
        </w:rPr>
        <w:t>точное значение  характеристик товаров, указывается конкретный адрес.</w:t>
      </w:r>
    </w:p>
    <w:p w:rsidR="002B4C20" w:rsidRDefault="002B4C20" w:rsidP="006A58B8">
      <w:pPr>
        <w:pStyle w:val="aff7"/>
        <w:rPr>
          <w:b/>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Pr="006A58B8"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6A58B8" w:rsidRPr="006A58B8" w:rsidRDefault="006A58B8" w:rsidP="006A58B8">
      <w:pPr>
        <w:pStyle w:val="aff7"/>
        <w:rPr>
          <w:b/>
          <w:sz w:val="16"/>
          <w:szCs w:val="16"/>
        </w:rPr>
      </w:pPr>
    </w:p>
    <w:p w:rsidR="002B4C20" w:rsidRDefault="002B4C20" w:rsidP="006A58B8">
      <w:pPr>
        <w:pStyle w:val="aff7"/>
        <w:rPr>
          <w:b/>
        </w:rPr>
      </w:pPr>
    </w:p>
    <w:p w:rsidR="002B4C20" w:rsidRDefault="002B4C20"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c"/>
        <w:spacing w:line="360" w:lineRule="auto"/>
        <w:jc w:val="center"/>
      </w:pPr>
      <w:r w:rsidRPr="000C36C8">
        <w:t>Идентификационный код закупки</w:t>
      </w:r>
    </w:p>
    <w:p w:rsidR="0006534A" w:rsidRPr="000C36C8" w:rsidRDefault="00774D3D" w:rsidP="0006534A">
      <w:pPr>
        <w:spacing w:after="0"/>
        <w:ind w:firstLine="567"/>
        <w:jc w:val="center"/>
        <w:rPr>
          <w:caps/>
        </w:rPr>
      </w:pPr>
      <w:r w:rsidRPr="000C36C8">
        <w:t xml:space="preserve">№ </w:t>
      </w:r>
      <w:r w:rsidR="00852CC8">
        <w:t>18386220114908622010011022009</w:t>
      </w:r>
      <w:r w:rsidR="00405F24" w:rsidRPr="000C36C8">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0C36C8"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 xml:space="preserve">рственным или </w:t>
      </w:r>
      <w:r w:rsidR="00213597" w:rsidRPr="000C36C8">
        <w:rPr>
          <w:sz w:val="24"/>
          <w:szCs w:val="24"/>
        </w:rPr>
        <w:t>муниципальным казе</w:t>
      </w:r>
      <w:r w:rsidRPr="000C36C8">
        <w:rPr>
          <w:sz w:val="24"/>
          <w:szCs w:val="24"/>
        </w:rPr>
        <w:t>нным учреждением;</w:t>
      </w:r>
    </w:p>
    <w:p w:rsidR="00BC0CA6" w:rsidRPr="000C36C8" w:rsidRDefault="00BC0CA6" w:rsidP="00BC0CA6">
      <w:pPr>
        <w:pStyle w:val="aff7"/>
        <w:ind w:firstLine="567"/>
        <w:jc w:val="both"/>
        <w:rPr>
          <w:sz w:val="24"/>
          <w:szCs w:val="24"/>
        </w:rPr>
      </w:pPr>
      <w:r w:rsidRPr="000C36C8">
        <w:rPr>
          <w:sz w:val="24"/>
          <w:szCs w:val="24"/>
        </w:rPr>
        <w:t>2) осуществления закупки услуги по предоставлению кредита;</w:t>
      </w:r>
    </w:p>
    <w:p w:rsidR="00744501" w:rsidRPr="000C36C8" w:rsidRDefault="00BC0CA6" w:rsidP="00744501">
      <w:pPr>
        <w:pStyle w:val="aff7"/>
        <w:ind w:firstLine="567"/>
        <w:jc w:val="both"/>
        <w:rPr>
          <w:sz w:val="24"/>
          <w:szCs w:val="24"/>
        </w:rPr>
      </w:pPr>
      <w:r w:rsidRPr="000C36C8">
        <w:rPr>
          <w:sz w:val="24"/>
          <w:szCs w:val="24"/>
        </w:rPr>
        <w:t>3) заключение бюджетным учреждением контракта (гражданско-правового договора), предметом которого являе</w:t>
      </w:r>
      <w:r w:rsidR="00744501" w:rsidRPr="000C36C8">
        <w:rPr>
          <w:sz w:val="24"/>
          <w:szCs w:val="24"/>
        </w:rPr>
        <w:t>тся выдача банковской гарантии.</w:t>
      </w: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 xml:space="preserve">ом обязательств, предусмотренных настоящим Контрактом, заключенным с победителем закупки (или с иным </w:t>
      </w:r>
      <w:r w:rsidR="001759EF" w:rsidRPr="000C36C8">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0C36C8" w:rsidRDefault="000B4EE0" w:rsidP="00744501">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lastRenderedPageBreak/>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0C36C8">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852CC8">
        <w:t>18386220114908622010011022009</w:t>
      </w:r>
      <w:r w:rsidR="004F2A8A" w:rsidRPr="000C36C8">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25" w:rsidRDefault="004E1F25">
      <w:pPr>
        <w:spacing w:after="0"/>
      </w:pPr>
      <w:r>
        <w:separator/>
      </w:r>
    </w:p>
  </w:endnote>
  <w:endnote w:type="continuationSeparator" w:id="0">
    <w:p w:rsidR="004E1F25" w:rsidRDefault="004E1F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3EE" w:rsidRDefault="00EC03E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B1B12">
      <w:rPr>
        <w:rStyle w:val="a7"/>
        <w:noProof/>
      </w:rPr>
      <w:t>7</w:t>
    </w:r>
    <w:r>
      <w:rPr>
        <w:rStyle w:val="a7"/>
      </w:rPr>
      <w:fldChar w:fldCharType="end"/>
    </w:r>
  </w:p>
  <w:p w:rsidR="00EC03EE" w:rsidRDefault="00EC03E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25" w:rsidRDefault="004E1F25">
      <w:pPr>
        <w:spacing w:after="0"/>
      </w:pPr>
      <w:r>
        <w:separator/>
      </w:r>
    </w:p>
  </w:footnote>
  <w:footnote w:type="continuationSeparator" w:id="0">
    <w:p w:rsidR="004E1F25" w:rsidRDefault="004E1F25">
      <w:pPr>
        <w:spacing w:after="0"/>
      </w:pPr>
      <w:r>
        <w:continuationSeparator/>
      </w:r>
    </w:p>
  </w:footnote>
  <w:footnote w:id="1">
    <w:p w:rsidR="00EC03EE" w:rsidRPr="001759EF" w:rsidRDefault="00EC03EE">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C03EE" w:rsidRPr="00744501" w:rsidRDefault="00EC03EE"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EC03EE" w:rsidRPr="00744501" w:rsidRDefault="00EC03EE"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EC03EE" w:rsidRPr="00744501" w:rsidRDefault="00EC03EE"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EC03EE" w:rsidRPr="00744501" w:rsidRDefault="00EC03EE"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C03EE" w:rsidRPr="00744501" w:rsidRDefault="00EC03EE"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C03EE" w:rsidRPr="00744501" w:rsidRDefault="00EC03EE"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EC03EE" w:rsidRPr="00744501" w:rsidRDefault="00EC03EE" w:rsidP="00744501">
      <w:pPr>
        <w:pStyle w:val="aff7"/>
        <w:jc w:val="both"/>
        <w:rPr>
          <w:sz w:val="16"/>
          <w:szCs w:val="16"/>
        </w:rPr>
      </w:pPr>
    </w:p>
  </w:footnote>
  <w:footnote w:id="3">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C03EE" w:rsidRPr="00744501" w:rsidRDefault="00EC03EE" w:rsidP="00744501">
      <w:pPr>
        <w:pStyle w:val="aff7"/>
        <w:jc w:val="both"/>
        <w:rPr>
          <w:sz w:val="16"/>
          <w:szCs w:val="16"/>
        </w:rPr>
      </w:pPr>
    </w:p>
  </w:footnote>
  <w:footnote w:id="4">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EC03EE" w:rsidRPr="00744501" w:rsidRDefault="00EC03EE" w:rsidP="00744501">
      <w:pPr>
        <w:pStyle w:val="aff7"/>
        <w:jc w:val="both"/>
        <w:rPr>
          <w:sz w:val="16"/>
          <w:szCs w:val="16"/>
        </w:rPr>
      </w:pPr>
    </w:p>
  </w:footnote>
  <w:footnote w:id="5">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36C8"/>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87A"/>
    <w:rsid w:val="00187A3C"/>
    <w:rsid w:val="001900DE"/>
    <w:rsid w:val="001929B8"/>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5B56"/>
    <w:rsid w:val="002A6A8C"/>
    <w:rsid w:val="002B4A6C"/>
    <w:rsid w:val="002B4C20"/>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122BA"/>
    <w:rsid w:val="004264E4"/>
    <w:rsid w:val="00426FF7"/>
    <w:rsid w:val="00432AEB"/>
    <w:rsid w:val="00436880"/>
    <w:rsid w:val="00436B97"/>
    <w:rsid w:val="00446CE9"/>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219B"/>
    <w:rsid w:val="004C3784"/>
    <w:rsid w:val="004C584B"/>
    <w:rsid w:val="004D448F"/>
    <w:rsid w:val="004D6819"/>
    <w:rsid w:val="004E1F25"/>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92B33"/>
    <w:rsid w:val="006A0AFC"/>
    <w:rsid w:val="006A1B91"/>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7BF"/>
    <w:rsid w:val="00816B73"/>
    <w:rsid w:val="00824693"/>
    <w:rsid w:val="00824713"/>
    <w:rsid w:val="00825CD9"/>
    <w:rsid w:val="00830410"/>
    <w:rsid w:val="008304E6"/>
    <w:rsid w:val="00833B01"/>
    <w:rsid w:val="008374F0"/>
    <w:rsid w:val="00837F19"/>
    <w:rsid w:val="00840B1E"/>
    <w:rsid w:val="00844E65"/>
    <w:rsid w:val="008455D9"/>
    <w:rsid w:val="00847D09"/>
    <w:rsid w:val="00852CC8"/>
    <w:rsid w:val="00855866"/>
    <w:rsid w:val="00856815"/>
    <w:rsid w:val="0086272D"/>
    <w:rsid w:val="008632DD"/>
    <w:rsid w:val="00865EE1"/>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53EB"/>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12"/>
    <w:rsid w:val="00BB1B55"/>
    <w:rsid w:val="00BB23B1"/>
    <w:rsid w:val="00BB3782"/>
    <w:rsid w:val="00BB4A8A"/>
    <w:rsid w:val="00BC0CA6"/>
    <w:rsid w:val="00BC2A17"/>
    <w:rsid w:val="00BC5CDA"/>
    <w:rsid w:val="00BC795F"/>
    <w:rsid w:val="00BC7B2A"/>
    <w:rsid w:val="00BD1B9A"/>
    <w:rsid w:val="00BD720A"/>
    <w:rsid w:val="00BE1D89"/>
    <w:rsid w:val="00BE2021"/>
    <w:rsid w:val="00BE2C3E"/>
    <w:rsid w:val="00BE4154"/>
    <w:rsid w:val="00BE6B2B"/>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3BF1"/>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FFC3-3A6D-4667-A461-AB908355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8498</TotalTime>
  <Pages>35</Pages>
  <Words>12786</Words>
  <Characters>72881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298</cp:revision>
  <cp:lastPrinted>2018-02-08T09:34:00Z</cp:lastPrinted>
  <dcterms:created xsi:type="dcterms:W3CDTF">2015-03-30T09:50:00Z</dcterms:created>
  <dcterms:modified xsi:type="dcterms:W3CDTF">2018-03-06T10:25:00Z</dcterms:modified>
</cp:coreProperties>
</file>