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2F4D" w14:textId="77777777" w:rsidR="002511AD" w:rsidRPr="003530A3" w:rsidRDefault="002511A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</w:p>
    <w:p w14:paraId="0EDD8419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 xml:space="preserve">Приложение 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1D40BF50" w14:textId="7B7233E3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на 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оказание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охранных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услуг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использованием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средств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тревожной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сигнализации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2DDC35DF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>(ИКЗ № 2338622002368862201001023</w:t>
      </w:r>
      <w:r w:rsidR="00834348">
        <w:rPr>
          <w:rFonts w:ascii="PT Astra Serif" w:hAnsi="PT Astra Serif"/>
          <w:color w:val="000099"/>
          <w:sz w:val="24"/>
          <w:szCs w:val="24"/>
        </w:rPr>
        <w:t>9</w:t>
      </w:r>
      <w:r w:rsidRPr="003530A3">
        <w:rPr>
          <w:rFonts w:ascii="PT Astra Serif" w:hAnsi="PT Astra Serif"/>
          <w:color w:val="000099"/>
          <w:sz w:val="24"/>
          <w:szCs w:val="24"/>
        </w:rPr>
        <w:t>0018010244)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254B1C2E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</w:t>
      </w:r>
      <w:proofErr w:type="gramStart"/>
      <w:r w:rsidR="008172CE" w:rsidRPr="003530A3">
        <w:rPr>
          <w:rFonts w:ascii="PT Astra Serif" w:hAnsi="PT Astra Serif" w:cs="Times New Roman"/>
          <w:sz w:val="24"/>
          <w:szCs w:val="24"/>
        </w:rPr>
        <w:t>от</w:t>
      </w:r>
      <w:proofErr w:type="gram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2200E7EF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охранные услуги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с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использованием сре</w:t>
      </w:r>
      <w:proofErr w:type="gramStart"/>
      <w:r w:rsidR="00834348">
        <w:rPr>
          <w:rFonts w:ascii="PT Astra Serif" w:hAnsi="PT Astra Serif" w:cs="Times New Roman"/>
          <w:sz w:val="24"/>
          <w:szCs w:val="24"/>
          <w:lang w:eastAsia="en-US"/>
        </w:rPr>
        <w:t>дств тр</w:t>
      </w:r>
      <w:proofErr w:type="gramEnd"/>
      <w:r w:rsidR="00834348">
        <w:rPr>
          <w:rFonts w:ascii="PT Astra Serif" w:hAnsi="PT Astra Serif" w:cs="Times New Roman"/>
          <w:sz w:val="24"/>
          <w:szCs w:val="24"/>
          <w:lang w:eastAsia="en-US"/>
        </w:rPr>
        <w:t>евожной сигнализации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284E6272" w14:textId="77777777" w:rsidR="00834348" w:rsidRPr="00834348" w:rsidRDefault="00D273CD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1.2. Сроки оказания услуг: с 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момента заключения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 w:rsidR="002511AD" w:rsidRPr="003530A3">
        <w:rPr>
          <w:rFonts w:ascii="PT Astra Serif" w:hAnsi="PT Astra Serif" w:cs="Times New Roman"/>
          <w:sz w:val="24"/>
          <w:szCs w:val="24"/>
        </w:rPr>
        <w:t>31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</w:rPr>
        <w:t>декабря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>202</w:t>
      </w:r>
      <w:r w:rsidR="002511AD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628260,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Ханты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Мансийский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автономный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округ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Югра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14:paraId="6223794B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40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лет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Победы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11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вахта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фойе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1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этажа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05F10FD6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Механизаторов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22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Департамент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жилищно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коммунального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строительного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комплекса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722DF6AD" w14:textId="77777777" w:rsid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proofErr w:type="gram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Железнодорожная</w:t>
      </w:r>
      <w:proofErr w:type="gramEnd"/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.43/1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архив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14:paraId="0B766A1D" w14:textId="685D522B" w:rsidR="00D273CD" w:rsidRPr="003530A3" w:rsidRDefault="00D273CD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_DdeLink__16344_3769195071"/>
    </w:p>
    <w:p w14:paraId="30DBB805" w14:textId="77777777" w:rsidR="0036113F" w:rsidRPr="003530A3" w:rsidRDefault="0036113F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0"/>
    <w:p w14:paraId="782852F1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2773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2.4.1. В любое время проверять ход и качество услуг,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оказываемых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Исполнителем, не вмешиваясь в его хозяйственную деятельность.</w:t>
      </w:r>
    </w:p>
    <w:p w14:paraId="751F2B65" w14:textId="39FA1F72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7ED54124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1" w:name="P152"/>
      <w:bookmarkEnd w:id="1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Исполнитель ежемесячно по окончании оказания услуг в течение 5 (пяти) рабочих дней </w:t>
      </w:r>
      <w:r w:rsidRPr="003530A3">
        <w:rPr>
          <w:rFonts w:ascii="PT Astra Serif" w:hAnsi="PT Astra Serif"/>
          <w:iCs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br/>
        <w:t xml:space="preserve">94 </w:t>
      </w:r>
      <w:r w:rsidRPr="003530A3">
        <w:rPr>
          <w:rFonts w:ascii="PT Astra Serif" w:hAnsi="PT Astra Serif"/>
          <w:sz w:val="24"/>
          <w:szCs w:val="24"/>
        </w:rPr>
        <w:t xml:space="preserve">Федеральным законом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2053EB7" w14:textId="39ECD748" w:rsidR="009E0418" w:rsidRPr="003530A3" w:rsidRDefault="009E0418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 xml:space="preserve">В случае если отчетным месяцем является декабрь, документ о приемке формируется, подписывается усиленной электронной подписью </w:t>
      </w:r>
      <w:proofErr w:type="gramStart"/>
      <w:r w:rsidRPr="003530A3">
        <w:rPr>
          <w:rFonts w:ascii="PT Astra Serif" w:hAnsi="PT Astra Serif"/>
          <w:iCs/>
          <w:sz w:val="24"/>
          <w:szCs w:val="24"/>
        </w:rPr>
        <w:t>лица, имеющего право действовать от имени Исполнителя и направляется</w:t>
      </w:r>
      <w:proofErr w:type="gramEnd"/>
      <w:r w:rsidRPr="003530A3">
        <w:rPr>
          <w:rFonts w:ascii="PT Astra Serif" w:hAnsi="PT Astra Serif"/>
          <w:iCs/>
          <w:sz w:val="24"/>
          <w:szCs w:val="24"/>
        </w:rPr>
        <w:t xml:space="preserve"> Заказчику в срок не позднее 17.12.2024 г.</w:t>
      </w:r>
    </w:p>
    <w:p w14:paraId="03B192E0" w14:textId="3312A99F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 xml:space="preserve"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</w:t>
      </w:r>
      <w:r w:rsidRPr="003530A3">
        <w:rPr>
          <w:rFonts w:ascii="PT Astra Serif" w:hAnsi="PT Astra Serif"/>
          <w:iCs/>
          <w:sz w:val="24"/>
          <w:szCs w:val="24"/>
        </w:rPr>
        <w:lastRenderedPageBreak/>
        <w:t>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226D1A" w:rsidRPr="003530A3">
        <w:rPr>
          <w:rFonts w:ascii="PT Astra Serif" w:hAnsi="PT Astra Serif"/>
          <w:iCs/>
          <w:sz w:val="24"/>
          <w:szCs w:val="24"/>
        </w:rPr>
        <w:t>Законом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2773C4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2773C4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</w:t>
      </w:r>
      <w:proofErr w:type="gramStart"/>
      <w:r w:rsidRPr="003530A3">
        <w:rPr>
          <w:rFonts w:ascii="PT Astra Serif" w:hAnsi="PT Astra Serif" w:cs="Times New Roman"/>
          <w:sz w:val="24"/>
          <w:szCs w:val="24"/>
          <w:lang w:eastAsia="en-US"/>
        </w:rPr>
        <w:t>оказанных</w:t>
      </w:r>
      <w:proofErr w:type="gramEnd"/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Pr="003530A3" w:rsidRDefault="004905C1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4. Гарантийные обязательства</w:t>
      </w:r>
    </w:p>
    <w:p w14:paraId="4C10E06F" w14:textId="602F1EA6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2773C4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" w:name="P226"/>
      <w:bookmarkEnd w:id="2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6F7212C9" w:rsidR="00D273CD" w:rsidRPr="003530A3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4F2B4F" w:rsidRPr="003530A3">
        <w:rPr>
          <w:rFonts w:ascii="PT Astra Serif" w:hAnsi="PT Astra Serif"/>
        </w:rPr>
        <w:t>Бю</w:t>
      </w:r>
      <w:r w:rsidR="00D72854">
        <w:rPr>
          <w:rFonts w:ascii="PT Astra Serif" w:hAnsi="PT Astra Serif"/>
        </w:rPr>
        <w:t xml:space="preserve">джет города </w:t>
      </w:r>
      <w:proofErr w:type="spellStart"/>
      <w:r w:rsidR="00D72854">
        <w:rPr>
          <w:rFonts w:ascii="PT Astra Serif" w:hAnsi="PT Astra Serif"/>
        </w:rPr>
        <w:t>Югорска</w:t>
      </w:r>
      <w:proofErr w:type="spellEnd"/>
      <w:r w:rsidR="00D72854">
        <w:rPr>
          <w:rFonts w:ascii="PT Astra Serif" w:hAnsi="PT Astra Serif"/>
        </w:rPr>
        <w:t xml:space="preserve"> на 2024 год </w:t>
      </w:r>
      <w:bookmarkStart w:id="3" w:name="_GoBack"/>
      <w:bookmarkEnd w:id="3"/>
      <w:r w:rsidR="00D72854" w:rsidRPr="00D72854">
        <w:rPr>
          <w:rFonts w:ascii="PT Astra Serif" w:hAnsi="PT Astra Serif"/>
        </w:rPr>
        <w:t>(</w:t>
      </w:r>
      <w:r w:rsidR="00D72854" w:rsidRPr="00D72854">
        <w:rPr>
          <w:rFonts w:ascii="PT Astra Serif" w:hAnsi="PT Astra Serif" w:hint="eastAsia"/>
        </w:rPr>
        <w:t>в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том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числе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субвенция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на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осуществление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полномочий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хранению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комплектованию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учету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использованию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архивных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документов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относящихся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к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государственной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собственности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Ханты</w:t>
      </w:r>
      <w:r w:rsidR="00D72854" w:rsidRPr="00D72854">
        <w:rPr>
          <w:rFonts w:ascii="PT Astra Serif" w:hAnsi="PT Astra Serif"/>
        </w:rPr>
        <w:t>-</w:t>
      </w:r>
      <w:r w:rsidR="00D72854" w:rsidRPr="00D72854">
        <w:rPr>
          <w:rFonts w:ascii="PT Astra Serif" w:hAnsi="PT Astra Serif" w:hint="eastAsia"/>
        </w:rPr>
        <w:t>Мансийского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автономного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округа</w:t>
      </w:r>
      <w:r w:rsidR="00D72854" w:rsidRPr="00D72854">
        <w:rPr>
          <w:rFonts w:ascii="PT Astra Serif" w:hAnsi="PT Astra Serif"/>
        </w:rPr>
        <w:t xml:space="preserve"> – </w:t>
      </w:r>
      <w:r w:rsidR="00D72854" w:rsidRPr="00D72854">
        <w:rPr>
          <w:rFonts w:ascii="PT Astra Serif" w:hAnsi="PT Astra Serif" w:hint="eastAsia"/>
        </w:rPr>
        <w:t>Югры</w:t>
      </w:r>
      <w:r w:rsidR="00D72854" w:rsidRPr="00D72854">
        <w:rPr>
          <w:rFonts w:ascii="PT Astra Serif" w:hAnsi="PT Astra Serif"/>
        </w:rPr>
        <w:t>).</w:t>
      </w:r>
    </w:p>
    <w:p w14:paraId="02F9CBC7" w14:textId="77777777" w:rsidR="004F2B4F" w:rsidRPr="003530A3" w:rsidRDefault="00D273CD" w:rsidP="004F2B4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4" w:name="P229"/>
      <w:bookmarkEnd w:id="4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Расчёт за оказанные услуги осуществляется ежемесячно в течение 7(семи) рабочих дней со дня подписания Заказчиком структурированного документа о приёмке. В случае</w:t>
      </w:r>
      <w:proofErr w:type="gramStart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,</w:t>
      </w:r>
      <w:proofErr w:type="gramEnd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если расчётным периодом является декабрь, расчёт производится не позднее 20 декабря 2024 года.</w:t>
      </w:r>
    </w:p>
    <w:p w14:paraId="67522487" w14:textId="440B5028" w:rsidR="00D273CD" w:rsidRPr="003530A3" w:rsidRDefault="00D273CD" w:rsidP="004F2B4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5" w:name="P243"/>
      <w:bookmarkEnd w:id="5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10036F5A" w14:textId="3C73B67B" w:rsidR="001D6E7D" w:rsidRPr="003530A3" w:rsidRDefault="001D6E7D" w:rsidP="001D6E7D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7FE9B003" w14:textId="363CF2EF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267EEC50" w14:textId="47AE4F49" w:rsidR="002C0650" w:rsidRPr="003530A3" w:rsidRDefault="00D273CD" w:rsidP="003758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</w:t>
      </w:r>
      <w:r w:rsidR="00834348" w:rsidRPr="00834348">
        <w:rPr>
          <w:rFonts w:ascii="PT Astra Serif" w:hAnsi="PT Astra Serif"/>
          <w:sz w:val="24"/>
          <w:szCs w:val="24"/>
        </w:rPr>
        <w:t>1 193 (</w:t>
      </w:r>
      <w:r w:rsidR="00834348" w:rsidRPr="00834348">
        <w:rPr>
          <w:rFonts w:ascii="PT Astra Serif" w:hAnsi="PT Astra Serif" w:hint="eastAsia"/>
          <w:sz w:val="24"/>
          <w:szCs w:val="24"/>
        </w:rPr>
        <w:t>одна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тысяча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сто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девяносто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три</w:t>
      </w:r>
      <w:r w:rsidR="00834348" w:rsidRPr="00834348">
        <w:rPr>
          <w:rFonts w:ascii="PT Astra Serif" w:hAnsi="PT Astra Serif"/>
          <w:sz w:val="24"/>
          <w:szCs w:val="24"/>
        </w:rPr>
        <w:t xml:space="preserve">) </w:t>
      </w:r>
      <w:r w:rsidR="00834348" w:rsidRPr="00834348">
        <w:rPr>
          <w:rFonts w:ascii="PT Astra Serif" w:hAnsi="PT Astra Serif" w:hint="eastAsia"/>
          <w:sz w:val="24"/>
          <w:szCs w:val="24"/>
        </w:rPr>
        <w:t>рубля</w:t>
      </w:r>
      <w:r w:rsidR="00834348" w:rsidRPr="00834348">
        <w:rPr>
          <w:rFonts w:ascii="PT Astra Serif" w:hAnsi="PT Astra Serif"/>
          <w:sz w:val="24"/>
          <w:szCs w:val="24"/>
        </w:rPr>
        <w:t xml:space="preserve"> 50 </w:t>
      </w:r>
      <w:r w:rsidR="00834348" w:rsidRPr="00834348">
        <w:rPr>
          <w:rFonts w:ascii="PT Astra Serif" w:hAnsi="PT Astra Serif" w:hint="eastAsia"/>
          <w:sz w:val="24"/>
          <w:szCs w:val="24"/>
        </w:rPr>
        <w:t>копеек</w:t>
      </w:r>
      <w:r w:rsidR="00834348">
        <w:rPr>
          <w:rFonts w:ascii="PT Astra Serif" w:hAnsi="PT Astra Serif"/>
          <w:sz w:val="24"/>
          <w:szCs w:val="24"/>
        </w:rPr>
        <w:t>.</w:t>
      </w:r>
      <w:r w:rsidR="0037584D" w:rsidRPr="003530A3">
        <w:rPr>
          <w:rFonts w:ascii="PT Astra Serif" w:hAnsi="PT Astra Serif"/>
          <w:sz w:val="24"/>
          <w:szCs w:val="24"/>
        </w:rPr>
        <w:t xml:space="preserve">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9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независимой гарантией, не менее чем на 1 (один) месяц, в том числе в случае его изменения в соответствии со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7"/>
      <w:bookmarkEnd w:id="6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37584D">
      <w:pPr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  <w:bookmarkStart w:id="7" w:name="Par238"/>
      <w:bookmarkEnd w:id="7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8" w:name="Par239"/>
      <w:bookmarkEnd w:id="8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обязательств для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37584D">
      <w:pPr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  <w:bookmarkStart w:id="9" w:name="Par244"/>
      <w:bookmarkEnd w:id="9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 предусмотрена выплата аванса). 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C6A55ED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DB6DC3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3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4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10" w:name="Par277"/>
      <w:bookmarkEnd w:id="10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DB6DC3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6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1" w:name="Par293"/>
      <w:bookmarkEnd w:id="11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DB6DC3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3530A3" w:rsidRDefault="00D273CD" w:rsidP="002773C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9. Порядок урегулирования споров</w:t>
      </w:r>
    </w:p>
    <w:p w14:paraId="07318F34" w14:textId="4FF0362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или в связи с ним, были урегулированы путем переговоров.</w:t>
      </w:r>
    </w:p>
    <w:p w14:paraId="134F6801" w14:textId="2D19CD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9.2. В случае наличия споров, разногласий и претензий относительно исполнения одной из Сторон своих обязатель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ств др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ее получения.</w:t>
      </w:r>
    </w:p>
    <w:p w14:paraId="6855A4FC" w14:textId="51E8492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 xml:space="preserve">    9.3</w:t>
      </w:r>
      <w:r w:rsidR="001A094F" w:rsidRPr="003530A3">
        <w:rPr>
          <w:rFonts w:ascii="PT Astra Serif" w:hAnsi="PT Astra Serif"/>
          <w:sz w:val="24"/>
          <w:szCs w:val="24"/>
        </w:rPr>
        <w:t>.</w:t>
      </w:r>
      <w:r w:rsidRPr="003530A3">
        <w:rPr>
          <w:rFonts w:ascii="PT Astra Serif" w:hAnsi="PT Astra Serif"/>
          <w:sz w:val="24"/>
          <w:szCs w:val="24"/>
        </w:rPr>
        <w:t xml:space="preserve"> Любые споры, не урегулированные во внесудебном порядке, разрешаются в судебном порядке.</w:t>
      </w:r>
    </w:p>
    <w:p w14:paraId="4DAC6BE4" w14:textId="77777777" w:rsidR="009F77EB" w:rsidRPr="003530A3" w:rsidRDefault="009F77EB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2773C4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59B2411B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2" w:name="P373"/>
      <w:bookmarkEnd w:id="12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1A094F" w:rsidRPr="003530A3">
        <w:rPr>
          <w:rFonts w:ascii="PT Astra Serif" w:hAnsi="PT Astra Serif" w:cs="Times New Roman"/>
          <w:sz w:val="24"/>
          <w:szCs w:val="24"/>
        </w:rPr>
        <w:t>31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1A094F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8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корреспонденция не вручена в связи с отсутствием Стороны по указанному адресу,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чем организация почтовой связи уведомила отправителя.</w:t>
      </w:r>
    </w:p>
    <w:p w14:paraId="6F8A067E" w14:textId="78DC1C4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Любые изменения и дополнения к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письменной форме.</w:t>
      </w:r>
    </w:p>
    <w:p w14:paraId="1D27F933" w14:textId="1B75A8FC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DB6D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DB6D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DB6D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77777777" w:rsidR="00D273CD" w:rsidRPr="003530A3" w:rsidRDefault="00DB6DC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</w:t>
      </w:r>
      <w:proofErr w:type="gramStart"/>
      <w:r w:rsidR="00D273CD" w:rsidRPr="003530A3">
        <w:rPr>
          <w:rFonts w:ascii="PT Astra Serif" w:hAnsi="PT Astra Serif" w:cs="Times New Roman"/>
          <w:sz w:val="24"/>
          <w:szCs w:val="24"/>
        </w:rPr>
        <w:t>снятии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охраны;</w:t>
      </w:r>
    </w:p>
    <w:p w14:paraId="365BCB9D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BC5F101" w14:textId="77777777" w:rsidR="003530A3" w:rsidRDefault="003530A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0CC2A70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628260, Тюменская область, Ханты-Мансийский автономный округ – Югра, г. Югорск, ул. 40 лет Победы, д. 11</w:t>
            </w:r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Югорск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РКЦ Ханты-Мансийск // УФК по Ханты-Мансийскому автономному округу – Югре г. Ханты-Мансийск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1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____________________</w:t>
            </w:r>
          </w:p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lastRenderedPageBreak/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0766409D" w14:textId="647C9D7F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(ИКЗ № 2338622002368862201001023</w:t>
      </w:r>
      <w:r w:rsidR="00834348">
        <w:rPr>
          <w:rFonts w:ascii="PT Astra Serif" w:hAnsi="PT Astra Serif"/>
          <w:color w:val="00000A"/>
          <w:sz w:val="24"/>
          <w:szCs w:val="24"/>
        </w:rPr>
        <w:t>9</w:t>
      </w:r>
      <w:r w:rsidRPr="003530A3">
        <w:rPr>
          <w:rFonts w:ascii="PT Astra Serif" w:hAnsi="PT Astra Serif"/>
          <w:color w:val="00000A"/>
          <w:sz w:val="24"/>
          <w:szCs w:val="24"/>
        </w:rPr>
        <w:t xml:space="preserve">0018010244) 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Зав. по АХР                                                                                                        Д. В. Питиримов</w:t>
      </w:r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097A1C67" w14:textId="749337AB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4905C1">
        <w:rPr>
          <w:rFonts w:ascii="PT Astra Serif" w:hAnsi="PT Astra Serif"/>
          <w:color w:val="00000A"/>
          <w:sz w:val="24"/>
          <w:szCs w:val="24"/>
        </w:rPr>
        <w:t>А.С. Власов</w:t>
      </w:r>
    </w:p>
    <w:p w14:paraId="2CA04B00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7568A195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  <w:t xml:space="preserve">                   В.Н. Ермакова</w:t>
      </w:r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90EB5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A1F6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27D413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3ABBD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44BBB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E20D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01CC1E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A47D4F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0C21952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520F7E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429312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B4FD5D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0CA5B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E27F1C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D73398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8736E5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F5D38E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65CD75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2BD6A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79BAD26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4E7F04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06BB218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E9BFCF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143623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1AFE4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39A4CD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8222B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87B1EDF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65C410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C37989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BE593A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5F1DE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90A05E6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4D832F8" w14:textId="77777777" w:rsidR="004905C1" w:rsidRDefault="004905C1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BB2FE89" w14:textId="77777777" w:rsidR="00834348" w:rsidRDefault="00834348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CDB88BD" w14:textId="77777777" w:rsidR="00834348" w:rsidRDefault="00834348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D1992A0" w14:textId="77777777" w:rsidR="00834348" w:rsidRDefault="00834348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1AE767" w14:textId="77777777" w:rsidR="00834348" w:rsidRDefault="00834348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5D4436D0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3530A3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3" w:name="P434"/>
      <w:bookmarkEnd w:id="13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72EB1AD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7FFAD207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CBA6B6B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6B7C16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83B54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5CEC9A2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91A25FD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B304875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9CC11EA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75B4DEB5" w:rsidR="00D273CD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56D91228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5DF28459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3BCC3508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 xml:space="preserve">на оказание охранных услуг с </w:t>
      </w:r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использованием сре</w:t>
      </w:r>
      <w:proofErr w:type="gramStart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дств тр</w:t>
      </w:r>
      <w:proofErr w:type="gramEnd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евожной сигнализации</w:t>
      </w:r>
    </w:p>
    <w:p w14:paraId="241B408F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48880D2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>Требования к оказанию услуг:</w:t>
      </w:r>
    </w:p>
    <w:p w14:paraId="43C2CE15" w14:textId="77777777" w:rsidR="00834348" w:rsidRPr="00834348" w:rsidRDefault="00834348" w:rsidP="00834348">
      <w:pPr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1.</w:t>
      </w:r>
      <w:proofErr w:type="gramStart"/>
      <w:r w:rsidRPr="0083434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14:paraId="2368D4A5" w14:textId="77777777" w:rsidR="00834348" w:rsidRPr="00834348" w:rsidRDefault="00834348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83434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834348">
        <w:rPr>
          <w:rFonts w:ascii="PT Astra Serif" w:hAnsi="PT Astra Serif"/>
          <w:sz w:val="24"/>
          <w:szCs w:val="24"/>
        </w:rPr>
        <w:t>дств тр</w:t>
      </w:r>
      <w:proofErr w:type="gramEnd"/>
      <w:r w:rsidRPr="00834348">
        <w:rPr>
          <w:rFonts w:ascii="PT Astra Serif" w:hAnsi="PT Astra Serif"/>
          <w:sz w:val="24"/>
          <w:szCs w:val="24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14:paraId="07B28FB1" w14:textId="77777777" w:rsidR="00834348" w:rsidRPr="00834348" w:rsidRDefault="00834348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134"/>
        <w:gridCol w:w="1701"/>
        <w:gridCol w:w="1559"/>
        <w:gridCol w:w="1134"/>
      </w:tblGrid>
      <w:tr w:rsidR="00834348" w:rsidRPr="00834348" w14:paraId="59D0651E" w14:textId="77777777" w:rsidTr="00834348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683F334B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B9FB4B6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8E49C9C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58D521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Вых</w:t>
            </w:r>
            <w:proofErr w:type="spellEnd"/>
            <w:r w:rsidRPr="00834348">
              <w:rPr>
                <w:rFonts w:ascii="PT Astra Serif" w:hAnsi="PT Astra Serif"/>
                <w:sz w:val="24"/>
                <w:szCs w:val="24"/>
              </w:rPr>
              <w:t>. дни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F51F45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Вид охраны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BD4A18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Часы охраны</w:t>
            </w:r>
          </w:p>
        </w:tc>
      </w:tr>
      <w:tr w:rsidR="00834348" w:rsidRPr="00834348" w14:paraId="7051FBAD" w14:textId="77777777" w:rsidTr="00834348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2AC4070B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D4EEDFD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80CD735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8CCFE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CD03B7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145C58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в раб</w:t>
            </w:r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д</w:t>
            </w:r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>ни</w:t>
            </w:r>
          </w:p>
        </w:tc>
        <w:tc>
          <w:tcPr>
            <w:tcW w:w="1134" w:type="dxa"/>
            <w:shd w:val="clear" w:color="auto" w:fill="auto"/>
          </w:tcPr>
          <w:p w14:paraId="7D278624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вых</w:t>
            </w:r>
            <w:proofErr w:type="spellEnd"/>
            <w:r w:rsidRPr="00834348">
              <w:rPr>
                <w:rFonts w:ascii="PT Astra Serif" w:hAnsi="PT Astra Serif"/>
                <w:sz w:val="24"/>
                <w:szCs w:val="24"/>
              </w:rPr>
              <w:t>. дни</w:t>
            </w:r>
          </w:p>
        </w:tc>
      </w:tr>
      <w:tr w:rsidR="00834348" w:rsidRPr="00834348" w14:paraId="3EBE826A" w14:textId="77777777" w:rsidTr="00834348">
        <w:tc>
          <w:tcPr>
            <w:tcW w:w="534" w:type="dxa"/>
            <w:shd w:val="clear" w:color="auto" w:fill="auto"/>
          </w:tcPr>
          <w:p w14:paraId="14310B92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8958CEC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 xml:space="preserve">Здание администрации города 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834348">
              <w:rPr>
                <w:rFonts w:ascii="PT Astra Serif" w:hAnsi="PT Astra Serif"/>
                <w:sz w:val="24"/>
                <w:szCs w:val="24"/>
              </w:rPr>
              <w:t xml:space="preserve"> (вахта в фойе 1 этажа)</w:t>
            </w:r>
          </w:p>
        </w:tc>
        <w:tc>
          <w:tcPr>
            <w:tcW w:w="2127" w:type="dxa"/>
            <w:shd w:val="clear" w:color="auto" w:fill="auto"/>
          </w:tcPr>
          <w:p w14:paraId="5C4C0C01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г. Югорск, ул. 40 лет Победы, 11</w:t>
            </w:r>
          </w:p>
        </w:tc>
        <w:tc>
          <w:tcPr>
            <w:tcW w:w="1134" w:type="dxa"/>
            <w:shd w:val="clear" w:color="auto" w:fill="auto"/>
          </w:tcPr>
          <w:p w14:paraId="6C756D22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сб</w:t>
            </w:r>
            <w:proofErr w:type="spellEnd"/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E8AB55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КТС (ПЦН)</w:t>
            </w:r>
          </w:p>
        </w:tc>
        <w:tc>
          <w:tcPr>
            <w:tcW w:w="1559" w:type="dxa"/>
            <w:shd w:val="clear" w:color="auto" w:fill="auto"/>
          </w:tcPr>
          <w:p w14:paraId="4C01D0FE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CBB7683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834348" w:rsidRPr="00834348" w14:paraId="0DC30309" w14:textId="77777777" w:rsidTr="00834348">
        <w:tc>
          <w:tcPr>
            <w:tcW w:w="534" w:type="dxa"/>
            <w:shd w:val="clear" w:color="auto" w:fill="auto"/>
          </w:tcPr>
          <w:p w14:paraId="2D9DFC0B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0DAFC2D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 xml:space="preserve">Здание Департамента жилищно-коммунального и строительного комплекса администрации города 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C091D72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г. Югорск, ул. Механизаторов, 22</w:t>
            </w:r>
          </w:p>
        </w:tc>
        <w:tc>
          <w:tcPr>
            <w:tcW w:w="1134" w:type="dxa"/>
            <w:shd w:val="clear" w:color="auto" w:fill="auto"/>
          </w:tcPr>
          <w:p w14:paraId="54BB62BF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сб</w:t>
            </w:r>
            <w:proofErr w:type="spellEnd"/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C82C67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КТС* (ПЦН*)</w:t>
            </w:r>
          </w:p>
        </w:tc>
        <w:tc>
          <w:tcPr>
            <w:tcW w:w="1559" w:type="dxa"/>
            <w:shd w:val="clear" w:color="auto" w:fill="auto"/>
          </w:tcPr>
          <w:p w14:paraId="215C3E4A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Пн. 9.00-18.00</w:t>
            </w:r>
          </w:p>
          <w:p w14:paraId="6ACE72AC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Вт-пт. 9.00-17.00, обед с 13.00-14.00.</w:t>
            </w:r>
          </w:p>
        </w:tc>
        <w:tc>
          <w:tcPr>
            <w:tcW w:w="1134" w:type="dxa"/>
            <w:shd w:val="clear" w:color="auto" w:fill="auto"/>
          </w:tcPr>
          <w:p w14:paraId="0D122FDE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834348" w:rsidRPr="00834348" w14:paraId="2716AD51" w14:textId="77777777" w:rsidTr="00834348">
        <w:tc>
          <w:tcPr>
            <w:tcW w:w="534" w:type="dxa"/>
            <w:shd w:val="clear" w:color="auto" w:fill="auto"/>
          </w:tcPr>
          <w:p w14:paraId="0D582A44" w14:textId="77777777" w:rsidR="00834348" w:rsidRPr="00834348" w:rsidRDefault="00834348" w:rsidP="0083434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A5A3CD0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 xml:space="preserve">Здание архива администрации города 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834348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42DB9D54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г. Югорск, ул.</w:t>
            </w:r>
          </w:p>
          <w:p w14:paraId="7E2F67F8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Железнодорожная 43/1</w:t>
            </w:r>
          </w:p>
        </w:tc>
        <w:tc>
          <w:tcPr>
            <w:tcW w:w="1134" w:type="dxa"/>
            <w:shd w:val="clear" w:color="auto" w:fill="auto"/>
          </w:tcPr>
          <w:p w14:paraId="7BB487BB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34348">
              <w:rPr>
                <w:rFonts w:ascii="PT Astra Serif" w:hAnsi="PT Astra Serif"/>
                <w:sz w:val="24"/>
                <w:szCs w:val="24"/>
              </w:rPr>
              <w:t>сб</w:t>
            </w:r>
            <w:proofErr w:type="spellEnd"/>
            <w:proofErr w:type="gramEnd"/>
            <w:r w:rsidRPr="00834348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834348">
              <w:rPr>
                <w:rFonts w:ascii="PT Astra Serif" w:hAnsi="PT Astra Serif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C80DD7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КТС* (ПЦН*)</w:t>
            </w:r>
          </w:p>
        </w:tc>
        <w:tc>
          <w:tcPr>
            <w:tcW w:w="1559" w:type="dxa"/>
            <w:shd w:val="clear" w:color="auto" w:fill="auto"/>
          </w:tcPr>
          <w:p w14:paraId="30C7C327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Пн. 9.00-18.00</w:t>
            </w:r>
          </w:p>
          <w:p w14:paraId="7A968508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Вт-пт. 9.00-17.00, обед с 13.00-14.00.</w:t>
            </w:r>
          </w:p>
        </w:tc>
        <w:tc>
          <w:tcPr>
            <w:tcW w:w="1134" w:type="dxa"/>
            <w:shd w:val="clear" w:color="auto" w:fill="auto"/>
          </w:tcPr>
          <w:p w14:paraId="7B7A8A40" w14:textId="77777777" w:rsidR="00834348" w:rsidRPr="00834348" w:rsidRDefault="00834348" w:rsidP="0083434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434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2C03BDD7" w14:textId="77777777" w:rsidR="00834348" w:rsidRPr="00834348" w:rsidRDefault="00834348" w:rsidP="00834348">
      <w:pPr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КТС* - кнопка тревожной сигнализации</w:t>
      </w:r>
    </w:p>
    <w:p w14:paraId="2696AA89" w14:textId="77777777" w:rsidR="00834348" w:rsidRPr="00834348" w:rsidRDefault="00834348" w:rsidP="00834348">
      <w:pPr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ПЦН* - пульт центрального наблюдения</w:t>
      </w:r>
    </w:p>
    <w:p w14:paraId="7D1923E8" w14:textId="77777777" w:rsidR="00834348" w:rsidRPr="00834348" w:rsidRDefault="00834348" w:rsidP="0083434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«Заказчиком» «Исполнителю» до начала оказания услуг. Список согласовывается с представителями «Исполнителя» и «Заказчика». </w:t>
      </w:r>
    </w:p>
    <w:p w14:paraId="488368D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lastRenderedPageBreak/>
        <w:t>4.</w:t>
      </w:r>
      <w:r w:rsidRPr="00834348">
        <w:rPr>
          <w:rFonts w:ascii="PT Astra Serif" w:hAnsi="PT Astra Serif"/>
          <w:sz w:val="24"/>
          <w:szCs w:val="24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14:paraId="74595611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5.</w:t>
      </w:r>
      <w:r w:rsidRPr="00834348">
        <w:rPr>
          <w:rFonts w:ascii="PT Astra Serif" w:hAnsi="PT Astra Serif"/>
          <w:sz w:val="24"/>
          <w:szCs w:val="24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14:paraId="2247CE3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6.</w:t>
      </w:r>
      <w:r w:rsidRPr="00834348">
        <w:rPr>
          <w:rFonts w:ascii="PT Astra Serif" w:hAnsi="PT Astra Serif"/>
          <w:sz w:val="24"/>
          <w:szCs w:val="24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14:paraId="37BE5677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 «Исполнитель» обеспечивает:</w:t>
      </w:r>
    </w:p>
    <w:p w14:paraId="1C07E83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7.1. Наличие связи с дежурной частью территориальных подразделений органов внутренних дел России;</w:t>
      </w:r>
    </w:p>
    <w:p w14:paraId="7663C59D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7.2. Оснащение нарядов групп задержания автоматическим и табельным оружием;</w:t>
      </w:r>
    </w:p>
    <w:p w14:paraId="6CA1171C" w14:textId="77777777" w:rsidR="00834348" w:rsidRPr="00834348" w:rsidRDefault="00834348" w:rsidP="00834348">
      <w:pPr>
        <w:ind w:firstLine="72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834348">
        <w:rPr>
          <w:rFonts w:ascii="PT Astra Serif" w:hAnsi="PT Astra Serif"/>
          <w:sz w:val="24"/>
          <w:szCs w:val="24"/>
        </w:rPr>
        <w:t>7.3. Охрану объектов по проводной телефонной линии.</w:t>
      </w:r>
    </w:p>
    <w:p w14:paraId="7B008FC5" w14:textId="77777777" w:rsidR="00834348" w:rsidRPr="00834348" w:rsidRDefault="00834348" w:rsidP="0083434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7.4. Услуги должны быть выполнены в соответствии с ГОСТ </w:t>
      </w:r>
      <w:proofErr w:type="gramStart"/>
      <w:r w:rsidRPr="00834348">
        <w:rPr>
          <w:rFonts w:ascii="PT Astra Serif" w:hAnsi="PT Astra Serif"/>
          <w:sz w:val="24"/>
          <w:szCs w:val="24"/>
        </w:rPr>
        <w:t>Р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50776-95.</w:t>
      </w:r>
    </w:p>
    <w:p w14:paraId="5F98697B" w14:textId="77777777" w:rsidR="00834348" w:rsidRPr="00834348" w:rsidRDefault="00834348" w:rsidP="0083434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8. ОКПД</w:t>
      </w:r>
      <w:proofErr w:type="gramStart"/>
      <w:r w:rsidRPr="00834348">
        <w:rPr>
          <w:rFonts w:ascii="PT Astra Serif" w:hAnsi="PT Astra Serif"/>
          <w:sz w:val="24"/>
          <w:szCs w:val="24"/>
        </w:rPr>
        <w:t>2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– 80.10.12.100.</w:t>
      </w:r>
    </w:p>
    <w:p w14:paraId="751389B1" w14:textId="77777777" w:rsidR="00834348" w:rsidRPr="00834348" w:rsidRDefault="00834348" w:rsidP="00834348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14:paraId="609A77CC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0F2C333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C373932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D99F973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70372CA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A578A33" w14:textId="77777777" w:rsidR="00834348" w:rsidRPr="003530A3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F1409A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bookmarkStart w:id="14" w:name="P518"/>
      <w:bookmarkEnd w:id="1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3530A3" w:rsidRPr="003530A3" w14:paraId="60F56C55" w14:textId="77777777" w:rsidTr="00147379">
        <w:tc>
          <w:tcPr>
            <w:tcW w:w="4730" w:type="dxa"/>
          </w:tcPr>
          <w:p w14:paraId="69F1F211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01E06AFE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9754C92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44073CA8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4AECBA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20C8931A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9C00B76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7847E7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4249DA70" w14:textId="77777777" w:rsidR="003530A3" w:rsidRPr="003530A3" w:rsidRDefault="003530A3" w:rsidP="003530A3">
      <w:pPr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</w:p>
    <w:p w14:paraId="3A1F4B6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9C4AD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EF07B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431D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D3639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44E949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5A7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699F3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B15F4B5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59936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78B37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F19C202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711C67EE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9964EBB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4F22D8E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560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9D33FF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49610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D683BB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657001F" w14:textId="77777777" w:rsidR="00834348" w:rsidRDefault="00834348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8887114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566E56E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3530A3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6" w:name="P615"/>
            <w:bookmarkEnd w:id="16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снятии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охраны</w:t>
            </w:r>
          </w:p>
        </w:tc>
      </w:tr>
      <w:tr w:rsidR="00D273CD" w:rsidRPr="003530A3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E5669B">
      <w:headerReference w:type="default" r:id="rId22"/>
      <w:pgSz w:w="11909" w:h="16834"/>
      <w:pgMar w:top="454" w:right="569" w:bottom="397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670A" w14:textId="77777777" w:rsidR="00DB6DC3" w:rsidRDefault="00DB6DC3" w:rsidP="00CD0290">
      <w:r>
        <w:separator/>
      </w:r>
    </w:p>
  </w:endnote>
  <w:endnote w:type="continuationSeparator" w:id="0">
    <w:p w14:paraId="0C3FC204" w14:textId="77777777" w:rsidR="00DB6DC3" w:rsidRDefault="00DB6DC3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A9024" w14:textId="77777777" w:rsidR="00DB6DC3" w:rsidRDefault="00DB6DC3" w:rsidP="00CD0290">
      <w:r>
        <w:separator/>
      </w:r>
    </w:p>
  </w:footnote>
  <w:footnote w:type="continuationSeparator" w:id="0">
    <w:p w14:paraId="0941C239" w14:textId="77777777" w:rsidR="00DB6DC3" w:rsidRDefault="00DB6DC3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54">
          <w:rPr>
            <w:noProof/>
          </w:rPr>
          <w:t>12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C52BB"/>
    <w:rsid w:val="000D7445"/>
    <w:rsid w:val="0015533B"/>
    <w:rsid w:val="001608C4"/>
    <w:rsid w:val="001A094F"/>
    <w:rsid w:val="001B414B"/>
    <w:rsid w:val="001D6E7D"/>
    <w:rsid w:val="002034AE"/>
    <w:rsid w:val="00206A1C"/>
    <w:rsid w:val="00207FC9"/>
    <w:rsid w:val="00220B7B"/>
    <w:rsid w:val="00226D1A"/>
    <w:rsid w:val="002511AD"/>
    <w:rsid w:val="00266EEE"/>
    <w:rsid w:val="002773C4"/>
    <w:rsid w:val="00285666"/>
    <w:rsid w:val="002C0650"/>
    <w:rsid w:val="002E6373"/>
    <w:rsid w:val="00326431"/>
    <w:rsid w:val="003530A3"/>
    <w:rsid w:val="0036113F"/>
    <w:rsid w:val="0037584D"/>
    <w:rsid w:val="00391CC2"/>
    <w:rsid w:val="003C1E19"/>
    <w:rsid w:val="003C2C39"/>
    <w:rsid w:val="004603BD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B74FA"/>
    <w:rsid w:val="005D190B"/>
    <w:rsid w:val="005D5CA4"/>
    <w:rsid w:val="00616D6C"/>
    <w:rsid w:val="0063152B"/>
    <w:rsid w:val="00662871"/>
    <w:rsid w:val="00692657"/>
    <w:rsid w:val="006C5F4E"/>
    <w:rsid w:val="00723422"/>
    <w:rsid w:val="007A4B98"/>
    <w:rsid w:val="007C6A25"/>
    <w:rsid w:val="007E43EF"/>
    <w:rsid w:val="007F5D8F"/>
    <w:rsid w:val="008172CE"/>
    <w:rsid w:val="00834348"/>
    <w:rsid w:val="00863798"/>
    <w:rsid w:val="008645D5"/>
    <w:rsid w:val="00886993"/>
    <w:rsid w:val="008A7E3A"/>
    <w:rsid w:val="00932710"/>
    <w:rsid w:val="009330CE"/>
    <w:rsid w:val="00933780"/>
    <w:rsid w:val="009551F8"/>
    <w:rsid w:val="00986CA7"/>
    <w:rsid w:val="009A21D6"/>
    <w:rsid w:val="009D2CFD"/>
    <w:rsid w:val="009E0418"/>
    <w:rsid w:val="009F77EB"/>
    <w:rsid w:val="00A06728"/>
    <w:rsid w:val="00A13E85"/>
    <w:rsid w:val="00A26128"/>
    <w:rsid w:val="00AC4580"/>
    <w:rsid w:val="00B20BA2"/>
    <w:rsid w:val="00B33F6E"/>
    <w:rsid w:val="00B6693F"/>
    <w:rsid w:val="00B71538"/>
    <w:rsid w:val="00B96FB1"/>
    <w:rsid w:val="00BF06E5"/>
    <w:rsid w:val="00C15466"/>
    <w:rsid w:val="00C242F7"/>
    <w:rsid w:val="00C70569"/>
    <w:rsid w:val="00CB614A"/>
    <w:rsid w:val="00CD0290"/>
    <w:rsid w:val="00CE741C"/>
    <w:rsid w:val="00D273CD"/>
    <w:rsid w:val="00D34A11"/>
    <w:rsid w:val="00D4226D"/>
    <w:rsid w:val="00D72854"/>
    <w:rsid w:val="00DA60CF"/>
    <w:rsid w:val="00DB28C0"/>
    <w:rsid w:val="00DB6DC3"/>
    <w:rsid w:val="00DD49AA"/>
    <w:rsid w:val="00DF1606"/>
    <w:rsid w:val="00E01DE5"/>
    <w:rsid w:val="00E0480B"/>
    <w:rsid w:val="00E45DB9"/>
    <w:rsid w:val="00E5669B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consultantplus://offline/ref=57AD7C343A708190FBAAD49F9C7BE82F7895511F03B228FA398C03435A20541D8A7AD61ECDD93F43816881D422F8A97B5462600Be8S7G" TargetMode="External"/><Relationship Id="rId18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@ygo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0" Type="http://schemas.openxmlformats.org/officeDocument/2006/relationships/hyperlink" Target="consultantplus://offline/ref=BAA57F9A88C66CFCC720A999A759A1BC83968EAA5312C05B682F8D8F43023CC8C60047D7825AA88E3F1F6BD2BA53X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AD7C343A708190FBAAD49F9C7BE82F7893511B0DB628FA398C03435A20541D8A7AD61AC2D93F43816881D422F8A97B5462600Be8S7G" TargetMode="External"/><Relationship Id="rId19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Ловыгина Наталья Борисовна</cp:lastModifiedBy>
  <cp:revision>11</cp:revision>
  <cp:lastPrinted>2023-12-12T07:25:00Z</cp:lastPrinted>
  <dcterms:created xsi:type="dcterms:W3CDTF">2023-12-11T12:42:00Z</dcterms:created>
  <dcterms:modified xsi:type="dcterms:W3CDTF">2023-12-12T07:32:00Z</dcterms:modified>
</cp:coreProperties>
</file>