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D26F5E">
        <w:rPr>
          <w:color w:val="FF0000"/>
        </w:rPr>
        <w:t>7</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6B26D6" w:rsidRDefault="006B26D6" w:rsidP="006B26D6">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6B26D6" w:rsidRDefault="006B26D6" w:rsidP="006B26D6">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Default="00BB2604" w:rsidP="00BB2604">
      <w:pPr>
        <w:spacing w:after="0"/>
        <w:ind w:firstLine="567"/>
        <w:jc w:val="center"/>
      </w:pPr>
      <w:r w:rsidRPr="00D33009">
        <w:t>2. Цена Контракта и порядок расчетов</w:t>
      </w:r>
    </w:p>
    <w:p w:rsidR="006B26D6" w:rsidRPr="00D33009" w:rsidRDefault="006B26D6" w:rsidP="00BB2604">
      <w:pPr>
        <w:spacing w:after="0"/>
        <w:ind w:firstLine="567"/>
        <w:jc w:val="center"/>
      </w:pPr>
    </w:p>
    <w:p w:rsidR="00BB2604" w:rsidRPr="00D33009" w:rsidRDefault="00BB2604"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267E5C" w:rsidRDefault="00267E5C" w:rsidP="00267E5C">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267E5C">
        <w:t>5.</w:t>
      </w:r>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B26D6" w:rsidRPr="00D33009" w:rsidRDefault="006B26D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D26F5E">
        <w:rPr>
          <w:color w:val="FF0000"/>
        </w:rPr>
        <w:t>7</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D874CA" w:rsidRPr="00620DB7" w:rsidRDefault="00D874CA" w:rsidP="00D874CA">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7D752E" w:rsidRPr="00620DB7" w:rsidRDefault="007D752E" w:rsidP="00620DB7">
      <w:pPr>
        <w:spacing w:after="200"/>
        <w:jc w:val="left"/>
        <w:rPr>
          <w:b/>
        </w:rPr>
      </w:pPr>
      <w:bookmarkStart w:id="1" w:name="_GoBack"/>
      <w:bookmarkEnd w:id="1"/>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A65" w:rsidRDefault="00084A65" w:rsidP="00BB2604">
      <w:pPr>
        <w:spacing w:after="0"/>
      </w:pPr>
      <w:r>
        <w:separator/>
      </w:r>
    </w:p>
  </w:endnote>
  <w:endnote w:type="continuationSeparator" w:id="0">
    <w:p w:rsidR="00084A65" w:rsidRDefault="00084A6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A65" w:rsidRDefault="00084A65" w:rsidP="00BB2604">
      <w:pPr>
        <w:spacing w:after="0"/>
      </w:pPr>
      <w:r>
        <w:separator/>
      </w:r>
    </w:p>
  </w:footnote>
  <w:footnote w:type="continuationSeparator" w:id="0">
    <w:p w:rsidR="00084A65" w:rsidRDefault="00084A6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84A65"/>
    <w:rsid w:val="00091B24"/>
    <w:rsid w:val="0009510B"/>
    <w:rsid w:val="000A12F6"/>
    <w:rsid w:val="000A7495"/>
    <w:rsid w:val="000C1AAD"/>
    <w:rsid w:val="000C1B5A"/>
    <w:rsid w:val="000C22C3"/>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67E5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525D"/>
    <w:rsid w:val="004674F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26D6"/>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A8C"/>
    <w:rsid w:val="00753BCD"/>
    <w:rsid w:val="00775069"/>
    <w:rsid w:val="00777B7D"/>
    <w:rsid w:val="0078444D"/>
    <w:rsid w:val="00791642"/>
    <w:rsid w:val="00792101"/>
    <w:rsid w:val="00793942"/>
    <w:rsid w:val="007A08AB"/>
    <w:rsid w:val="007B2053"/>
    <w:rsid w:val="007D1A3A"/>
    <w:rsid w:val="007D752E"/>
    <w:rsid w:val="007E0550"/>
    <w:rsid w:val="007E6581"/>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9F6FB3"/>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26F5E"/>
    <w:rsid w:val="00D302CD"/>
    <w:rsid w:val="00D33009"/>
    <w:rsid w:val="00D345AF"/>
    <w:rsid w:val="00D42E3E"/>
    <w:rsid w:val="00D42F97"/>
    <w:rsid w:val="00D44305"/>
    <w:rsid w:val="00D650A9"/>
    <w:rsid w:val="00D7288D"/>
    <w:rsid w:val="00D733F1"/>
    <w:rsid w:val="00D75CC1"/>
    <w:rsid w:val="00D874CA"/>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114446842">
      <w:bodyDiv w:val="1"/>
      <w:marLeft w:val="0"/>
      <w:marRight w:val="0"/>
      <w:marTop w:val="0"/>
      <w:marBottom w:val="0"/>
      <w:divBdr>
        <w:top w:val="none" w:sz="0" w:space="0" w:color="auto"/>
        <w:left w:val="none" w:sz="0" w:space="0" w:color="auto"/>
        <w:bottom w:val="none" w:sz="0" w:space="0" w:color="auto"/>
        <w:right w:val="none" w:sz="0" w:space="0" w:color="auto"/>
      </w:divBdr>
    </w:div>
    <w:div w:id="1154875529">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11</Pages>
  <Words>5159</Words>
  <Characters>29408</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270</cp:revision>
  <cp:lastPrinted>2022-08-31T12:18:00Z</cp:lastPrinted>
  <dcterms:created xsi:type="dcterms:W3CDTF">2020-04-13T12:08:00Z</dcterms:created>
  <dcterms:modified xsi:type="dcterms:W3CDTF">2022-08-31T12:18:00Z</dcterms:modified>
</cp:coreProperties>
</file>