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E2650F" w:rsidRPr="00055763" w:rsidRDefault="00E2650F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C1456D" w:rsidRPr="008732A7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8732A7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8732A7">
        <w:rPr>
          <w:rFonts w:ascii="PT Astra Serif" w:hAnsi="PT Astra Serif"/>
          <w:b/>
          <w:bCs/>
          <w:color w:val="000000"/>
        </w:rPr>
        <w:t>Техническое задание</w:t>
      </w:r>
      <w:r w:rsidRPr="008732A7">
        <w:rPr>
          <w:rFonts w:ascii="PT Astra Serif" w:hAnsi="PT Astra Serif"/>
          <w:b/>
          <w:bCs/>
          <w:color w:val="000000"/>
        </w:rPr>
        <w:t>)</w:t>
      </w:r>
    </w:p>
    <w:p w:rsidR="00CB2AC2" w:rsidRDefault="00180925" w:rsidP="00A404F2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8732A7">
        <w:rPr>
          <w:rFonts w:ascii="PT Astra Serif" w:hAnsi="PT Astra Serif"/>
          <w:b/>
        </w:rPr>
        <w:t xml:space="preserve">на </w:t>
      </w:r>
      <w:r w:rsidR="00A404F2" w:rsidRPr="00A404F2">
        <w:rPr>
          <w:rFonts w:ascii="PT Astra Serif" w:hAnsi="PT Astra Serif"/>
          <w:b/>
        </w:rPr>
        <w:t xml:space="preserve">выполнение работ по </w:t>
      </w:r>
      <w:r w:rsidR="00E2650F" w:rsidRPr="00E2650F">
        <w:rPr>
          <w:rFonts w:ascii="PT Astra Serif" w:hAnsi="PT Astra Serif"/>
          <w:b/>
        </w:rPr>
        <w:t xml:space="preserve">отсыпке грунтовых дорог в 19 микрорайоне в городе </w:t>
      </w:r>
      <w:proofErr w:type="spellStart"/>
      <w:r w:rsidR="00E2650F" w:rsidRPr="00E2650F">
        <w:rPr>
          <w:rFonts w:ascii="PT Astra Serif" w:hAnsi="PT Astra Serif"/>
          <w:b/>
        </w:rPr>
        <w:t>Югорске</w:t>
      </w:r>
      <w:proofErr w:type="spellEnd"/>
      <w:r w:rsidR="00E2650F" w:rsidRPr="00E2650F">
        <w:rPr>
          <w:rFonts w:ascii="PT Astra Serif" w:hAnsi="PT Astra Serif"/>
          <w:b/>
        </w:rPr>
        <w:t>.</w:t>
      </w:r>
      <w:r w:rsidR="00E2650F" w:rsidRPr="00E2650F">
        <w:rPr>
          <w:rFonts w:ascii="PT Astra Serif" w:hAnsi="PT Astra Serif"/>
          <w:b/>
        </w:rPr>
        <w:tab/>
      </w:r>
    </w:p>
    <w:p w:rsidR="00E2650F" w:rsidRDefault="00E2650F" w:rsidP="00A404F2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FA6231" w:rsidRPr="00214A01" w:rsidRDefault="00180925" w:rsidP="00FA6231">
      <w:pPr>
        <w:rPr>
          <w:rFonts w:ascii="PT Astra Serif" w:hAnsi="PT Astra Serif" w:cs="Arial"/>
          <w:bCs/>
          <w:color w:val="000000"/>
          <w:sz w:val="18"/>
          <w:szCs w:val="18"/>
          <w:lang w:eastAsia="ru-RU"/>
        </w:rPr>
      </w:pPr>
      <w:r w:rsidRPr="0086483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864833">
        <w:rPr>
          <w:rFonts w:ascii="PT Astra Serif" w:hAnsi="PT Astra Serif"/>
          <w:bCs/>
          <w:kern w:val="2"/>
        </w:rPr>
        <w:t>:</w:t>
      </w:r>
      <w:r w:rsidRPr="00864833">
        <w:rPr>
          <w:rFonts w:ascii="PT Astra Serif" w:hAnsi="PT Astra Serif"/>
          <w:kern w:val="2"/>
        </w:rPr>
        <w:t xml:space="preserve"> </w:t>
      </w:r>
      <w:proofErr w:type="gramStart"/>
      <w:r w:rsidR="00C41162" w:rsidRPr="00864833">
        <w:rPr>
          <w:rFonts w:ascii="PT Astra Serif" w:hAnsi="PT Astra Serif"/>
        </w:rPr>
        <w:t>Ханты-Мансийский автономный округ</w:t>
      </w:r>
      <w:r w:rsidR="00C32712" w:rsidRPr="00864833">
        <w:rPr>
          <w:rFonts w:ascii="PT Astra Serif" w:hAnsi="PT Astra Serif"/>
        </w:rPr>
        <w:t xml:space="preserve">-Югра, г. </w:t>
      </w:r>
      <w:proofErr w:type="spellStart"/>
      <w:r w:rsidR="00C32712" w:rsidRPr="00864833">
        <w:rPr>
          <w:rFonts w:ascii="PT Astra Serif" w:hAnsi="PT Astra Serif"/>
        </w:rPr>
        <w:t>Югорск</w:t>
      </w:r>
      <w:proofErr w:type="spellEnd"/>
      <w:r w:rsidR="00C32712" w:rsidRPr="00864833">
        <w:rPr>
          <w:rFonts w:ascii="PT Astra Serif" w:hAnsi="PT Astra Serif"/>
        </w:rPr>
        <w:t>,</w:t>
      </w:r>
      <w:r w:rsidR="00C9252D">
        <w:rPr>
          <w:rFonts w:ascii="PT Astra Serif" w:hAnsi="PT Astra Serif"/>
        </w:rPr>
        <w:t xml:space="preserve"> </w:t>
      </w:r>
      <w:r w:rsidR="00FA6231">
        <w:rPr>
          <w:rFonts w:ascii="PT Astra Serif" w:hAnsi="PT Astra Serif"/>
        </w:rPr>
        <w:t xml:space="preserve">19 микрорайон: </w:t>
      </w:r>
      <w:r w:rsidR="00FA6231" w:rsidRPr="00E12D73">
        <w:rPr>
          <w:rFonts w:ascii="PT Astra Serif" w:hAnsi="PT Astra Serif"/>
        </w:rPr>
        <w:t>ул. Ер</w:t>
      </w:r>
      <w:r w:rsidR="00FA6231" w:rsidRPr="00FA6231">
        <w:rPr>
          <w:rFonts w:ascii="PT Astra Serif" w:hAnsi="PT Astra Serif"/>
        </w:rPr>
        <w:t xml:space="preserve">мака (ул. Вишневая - ул. Тихая); </w:t>
      </w:r>
      <w:r w:rsidR="00FA6231" w:rsidRPr="00E12D73">
        <w:rPr>
          <w:rFonts w:ascii="PT Astra Serif" w:hAnsi="PT Astra Serif"/>
        </w:rPr>
        <w:t>ул. Комсомольская (у</w:t>
      </w:r>
      <w:r w:rsidR="00FA6231" w:rsidRPr="00FA6231">
        <w:rPr>
          <w:rFonts w:ascii="PT Astra Serif" w:hAnsi="PT Astra Serif"/>
        </w:rPr>
        <w:t xml:space="preserve">л. </w:t>
      </w:r>
      <w:proofErr w:type="spellStart"/>
      <w:r w:rsidR="00FA6231" w:rsidRPr="00FA6231">
        <w:rPr>
          <w:rFonts w:ascii="PT Astra Serif" w:hAnsi="PT Astra Serif"/>
        </w:rPr>
        <w:t>Кондинская</w:t>
      </w:r>
      <w:proofErr w:type="spellEnd"/>
      <w:r w:rsidR="00FA6231" w:rsidRPr="00FA6231">
        <w:rPr>
          <w:rFonts w:ascii="PT Astra Serif" w:hAnsi="PT Astra Serif"/>
        </w:rPr>
        <w:t xml:space="preserve"> - ул. Клюквенная); ул. Семейная (р-н ТП); </w:t>
      </w:r>
      <w:r w:rsidR="00FA6231" w:rsidRPr="00E12D73">
        <w:rPr>
          <w:rFonts w:ascii="PT Astra Serif" w:hAnsi="PT Astra Serif"/>
        </w:rPr>
        <w:t>ул. Комсом</w:t>
      </w:r>
      <w:r w:rsidR="00FA6231" w:rsidRPr="00FA6231">
        <w:rPr>
          <w:rFonts w:ascii="PT Astra Serif" w:hAnsi="PT Astra Serif"/>
        </w:rPr>
        <w:t xml:space="preserve">ольская (ул. Сахарова - болото); </w:t>
      </w:r>
      <w:r w:rsidR="00FA6231" w:rsidRPr="00E12D73">
        <w:rPr>
          <w:rFonts w:ascii="PT Astra Serif" w:hAnsi="PT Astra Serif"/>
        </w:rPr>
        <w:t>ул. Первопр</w:t>
      </w:r>
      <w:r w:rsidR="00FA6231">
        <w:rPr>
          <w:rFonts w:ascii="PT Astra Serif" w:hAnsi="PT Astra Serif"/>
        </w:rPr>
        <w:t>оходцев (ул. Сахарова - болото) и</w:t>
      </w:r>
      <w:r w:rsidR="00FA6231" w:rsidRPr="00FA6231">
        <w:rPr>
          <w:rFonts w:ascii="PT Astra Serif" w:hAnsi="PT Astra Serif"/>
        </w:rPr>
        <w:t xml:space="preserve"> </w:t>
      </w:r>
      <w:r w:rsidR="00FA6231" w:rsidRPr="00E12D73">
        <w:rPr>
          <w:rFonts w:ascii="PT Astra Serif" w:hAnsi="PT Astra Serif"/>
        </w:rPr>
        <w:t>ул. Добрая (ул. Ермака - ул. Сахарова)</w:t>
      </w:r>
      <w:r w:rsidR="00FA6231">
        <w:rPr>
          <w:rFonts w:ascii="PT Astra Serif" w:hAnsi="PT Astra Serif" w:cs="Arial"/>
          <w:bCs/>
          <w:color w:val="000000"/>
          <w:kern w:val="0"/>
          <w:sz w:val="18"/>
          <w:szCs w:val="18"/>
          <w:lang w:eastAsia="ru-RU"/>
        </w:rPr>
        <w:t>.</w:t>
      </w:r>
      <w:proofErr w:type="gramEnd"/>
    </w:p>
    <w:p w:rsidR="00180925" w:rsidRDefault="00180925" w:rsidP="00CB2AC2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864833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86483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521CC9" w:rsidRPr="00521CC9" w:rsidRDefault="00521CC9" w:rsidP="00521CC9">
      <w:pPr>
        <w:spacing w:after="0"/>
        <w:ind w:firstLine="426"/>
        <w:rPr>
          <w:rFonts w:ascii="PT Astra Serif" w:hAnsi="PT Astra Serif"/>
          <w:kern w:val="2"/>
        </w:rPr>
      </w:pPr>
      <w:r w:rsidRPr="00521CC9">
        <w:rPr>
          <w:rFonts w:ascii="PT Astra Serif" w:hAnsi="PT Astra Serif"/>
          <w:kern w:val="2"/>
        </w:rPr>
        <w:t xml:space="preserve">-  начало:  </w:t>
      </w:r>
      <w:proofErr w:type="gramStart"/>
      <w:r w:rsidR="004C21DC">
        <w:rPr>
          <w:rFonts w:ascii="PT Astra Serif" w:hAnsi="PT Astra Serif"/>
          <w:kern w:val="2"/>
        </w:rPr>
        <w:t>с даты заключения</w:t>
      </w:r>
      <w:proofErr w:type="gramEnd"/>
      <w:r w:rsidR="004C21DC">
        <w:rPr>
          <w:rFonts w:ascii="PT Astra Serif" w:hAnsi="PT Astra Serif"/>
          <w:kern w:val="2"/>
        </w:rPr>
        <w:t xml:space="preserve"> муниципального контракта</w:t>
      </w:r>
      <w:r w:rsidRPr="00521CC9">
        <w:rPr>
          <w:rFonts w:ascii="PT Astra Serif" w:hAnsi="PT Astra Serif"/>
          <w:kern w:val="2"/>
        </w:rPr>
        <w:t>;</w:t>
      </w:r>
    </w:p>
    <w:p w:rsidR="00521CC9" w:rsidRPr="00521CC9" w:rsidRDefault="00433240" w:rsidP="00521CC9">
      <w:pPr>
        <w:spacing w:after="0"/>
        <w:ind w:firstLine="426"/>
        <w:rPr>
          <w:rFonts w:ascii="PT Astra Serif" w:hAnsi="PT Astra Serif"/>
          <w:kern w:val="2"/>
        </w:rPr>
      </w:pPr>
      <w:r>
        <w:rPr>
          <w:rFonts w:ascii="PT Astra Serif" w:hAnsi="PT Astra Serif"/>
          <w:kern w:val="2"/>
        </w:rPr>
        <w:t xml:space="preserve">- окончание: </w:t>
      </w:r>
      <w:r w:rsidR="00494DF7">
        <w:rPr>
          <w:rFonts w:ascii="PT Astra Serif" w:hAnsi="PT Astra Serif"/>
        </w:rPr>
        <w:t>28 дней с даты заключения муниципального контракта.</w:t>
      </w:r>
      <w:bookmarkStart w:id="0" w:name="_GoBack"/>
      <w:bookmarkEnd w:id="0"/>
    </w:p>
    <w:p w:rsidR="00521CC9" w:rsidRDefault="00521CC9" w:rsidP="00521CC9">
      <w:pPr>
        <w:spacing w:after="0"/>
        <w:ind w:firstLine="426"/>
        <w:rPr>
          <w:rFonts w:ascii="PT Astra Serif" w:hAnsi="PT Astra Serif"/>
          <w:kern w:val="2"/>
        </w:rPr>
      </w:pPr>
      <w:r w:rsidRPr="00521CC9">
        <w:rPr>
          <w:rFonts w:ascii="PT Astra Serif" w:hAnsi="PT Astra Serif"/>
          <w:kern w:val="2"/>
        </w:rPr>
        <w:t>Срок исполнения контракта</w:t>
      </w:r>
      <w:r w:rsidR="004C21DC">
        <w:rPr>
          <w:rFonts w:ascii="PT Astra Serif" w:hAnsi="PT Astra Serif"/>
          <w:kern w:val="2"/>
        </w:rPr>
        <w:t xml:space="preserve"> Сторонами</w:t>
      </w:r>
      <w:r w:rsidRPr="00521CC9">
        <w:rPr>
          <w:rFonts w:ascii="PT Astra Serif" w:hAnsi="PT Astra Serif"/>
          <w:kern w:val="2"/>
        </w:rPr>
        <w:t xml:space="preserve">: </w:t>
      </w:r>
      <w:r w:rsidR="004C21DC">
        <w:rPr>
          <w:rFonts w:ascii="PT Astra Serif" w:hAnsi="PT Astra Serif"/>
          <w:kern w:val="2"/>
        </w:rPr>
        <w:t xml:space="preserve">66 (шестьдесят шесть дней) </w:t>
      </w:r>
      <w:proofErr w:type="gramStart"/>
      <w:r w:rsidR="004C21DC">
        <w:rPr>
          <w:rFonts w:ascii="PT Astra Serif" w:hAnsi="PT Astra Serif"/>
          <w:kern w:val="2"/>
        </w:rPr>
        <w:t>с даты заключения</w:t>
      </w:r>
      <w:proofErr w:type="gramEnd"/>
      <w:r w:rsidR="004C21DC">
        <w:rPr>
          <w:rFonts w:ascii="PT Astra Serif" w:hAnsi="PT Astra Serif"/>
          <w:kern w:val="2"/>
        </w:rPr>
        <w:t xml:space="preserve"> муниципального контракта.</w:t>
      </w:r>
    </w:p>
    <w:p w:rsidR="00FC651F" w:rsidRDefault="00FC651F" w:rsidP="00521CC9">
      <w:pPr>
        <w:spacing w:after="0"/>
        <w:ind w:firstLine="426"/>
        <w:rPr>
          <w:rFonts w:ascii="PT Astra Serif" w:hAnsi="PT Astra Serif"/>
          <w:bCs/>
          <w:kern w:val="2"/>
        </w:rPr>
      </w:pPr>
      <w:r w:rsidRPr="00864833">
        <w:rPr>
          <w:rFonts w:ascii="PT Astra Serif" w:hAnsi="PT Astra Serif"/>
          <w:bCs/>
        </w:rPr>
        <w:t xml:space="preserve">В цену контракта включены: </w:t>
      </w:r>
      <w:r w:rsidR="005F44E4" w:rsidRPr="0086483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32449" w:rsidRDefault="00E32449" w:rsidP="00E32449">
      <w:pPr>
        <w:spacing w:after="0"/>
        <w:rPr>
          <w:rFonts w:ascii="PT Astra Serif" w:hAnsi="PT Astra Serif"/>
          <w:b/>
          <w:bCs/>
          <w:u w:val="single"/>
        </w:rPr>
      </w:pPr>
    </w:p>
    <w:p w:rsidR="00E32449" w:rsidRDefault="00E32449" w:rsidP="00E32449">
      <w:pPr>
        <w:spacing w:after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E32449" w:rsidRPr="00864833" w:rsidRDefault="00E32449" w:rsidP="00521CC9">
      <w:pPr>
        <w:spacing w:after="0"/>
        <w:ind w:firstLine="426"/>
        <w:rPr>
          <w:rFonts w:ascii="PT Astra Serif" w:hAnsi="PT Astra Serif"/>
          <w:bCs/>
        </w:rPr>
      </w:pPr>
    </w:p>
    <w:p w:rsidR="00E32449" w:rsidRDefault="00E32449" w:rsidP="00E32449">
      <w:pPr>
        <w:suppressAutoHyphens w:val="0"/>
        <w:spacing w:after="0"/>
        <w:ind w:firstLine="708"/>
        <w:rPr>
          <w:rFonts w:ascii="PT Astra Serif" w:eastAsia="Calibri" w:hAnsi="PT Astra Serif"/>
          <w:color w:val="000000"/>
          <w:kern w:val="0"/>
          <w:lang w:eastAsia="en-US"/>
        </w:rPr>
      </w:pPr>
      <w:r>
        <w:rPr>
          <w:rFonts w:ascii="PT Astra Serif" w:eastAsia="Calibri" w:hAnsi="PT Astra Serif"/>
          <w:color w:val="000000"/>
          <w:kern w:val="0"/>
          <w:lang w:eastAsia="en-US"/>
        </w:rPr>
        <w:t xml:space="preserve">Подрядчик гарантирует соответствие результата работ технического задания и несет ответственность за отступления от них. Подрядчик гарантирует выполнять работы в соответствии с методическими рекомендациями, принятыми письмом </w:t>
      </w:r>
      <w:proofErr w:type="spellStart"/>
      <w:r>
        <w:rPr>
          <w:rFonts w:ascii="PT Astra Serif" w:eastAsia="Calibri" w:hAnsi="PT Astra Serif"/>
          <w:color w:val="000000"/>
          <w:kern w:val="0"/>
          <w:lang w:eastAsia="en-US"/>
        </w:rPr>
        <w:t>Росавтодора</w:t>
      </w:r>
      <w:proofErr w:type="spellEnd"/>
      <w:r>
        <w:rPr>
          <w:rFonts w:ascii="PT Astra Serif" w:eastAsia="Calibri" w:hAnsi="PT Astra Serif"/>
          <w:color w:val="000000"/>
          <w:kern w:val="0"/>
          <w:lang w:eastAsia="en-US"/>
        </w:rPr>
        <w:t xml:space="preserve"> от 17.03.2004 г. №ОС-28/1270-ис.</w:t>
      </w:r>
    </w:p>
    <w:p w:rsidR="00E32449" w:rsidRDefault="00E32449" w:rsidP="00E32449">
      <w:pPr>
        <w:suppressAutoHyphens w:val="0"/>
        <w:spacing w:after="0"/>
        <w:rPr>
          <w:rFonts w:ascii="PT Astra Serif" w:eastAsia="Calibri" w:hAnsi="PT Astra Serif"/>
          <w:color w:val="000000"/>
          <w:kern w:val="0"/>
          <w:lang w:eastAsia="ru-RU"/>
        </w:rPr>
      </w:pPr>
      <w:r>
        <w:rPr>
          <w:rFonts w:ascii="PT Astra Serif" w:eastAsia="Calibri" w:hAnsi="PT Astra Serif"/>
          <w:color w:val="000000"/>
          <w:kern w:val="0"/>
          <w:lang w:eastAsia="en-US"/>
        </w:rPr>
        <w:tab/>
      </w:r>
      <w:r>
        <w:rPr>
          <w:rFonts w:ascii="PT Astra Serif" w:eastAsia="Calibri" w:hAnsi="PT Astra Serif"/>
          <w:color w:val="000000"/>
          <w:kern w:val="0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E32449" w:rsidRDefault="00E32449" w:rsidP="00E32449">
      <w:pPr>
        <w:pStyle w:val="af"/>
        <w:spacing w:after="0"/>
        <w:ind w:left="0" w:firstLine="708"/>
        <w:jc w:val="both"/>
        <w:rPr>
          <w:rFonts w:ascii="PT Astra Serif" w:hAnsi="PT Astra Serif"/>
          <w:sz w:val="24"/>
          <w:szCs w:val="24"/>
          <w:lang w:val="ru-RU"/>
        </w:rPr>
      </w:pPr>
    </w:p>
    <w:p w:rsidR="00B14214" w:rsidRPr="00BB0B55" w:rsidRDefault="00B14214" w:rsidP="00B14214">
      <w:pPr>
        <w:spacing w:after="0"/>
        <w:rPr>
          <w:rFonts w:ascii="PT Astra Serif" w:hAnsi="PT Astra Serif"/>
        </w:rPr>
      </w:pPr>
      <w:r w:rsidRPr="00BB0B55">
        <w:rPr>
          <w:rFonts w:ascii="PT Astra Serif" w:hAnsi="PT Astra Serif"/>
        </w:rPr>
        <w:t>Объемы и перечень выпол</w:t>
      </w:r>
      <w:r>
        <w:rPr>
          <w:rFonts w:ascii="PT Astra Serif" w:hAnsi="PT Astra Serif"/>
        </w:rPr>
        <w:t>няемых работ указаны в Локальном</w:t>
      </w:r>
      <w:r w:rsidRPr="00BB0B55">
        <w:rPr>
          <w:rFonts w:ascii="PT Astra Serif" w:hAnsi="PT Astra Serif"/>
        </w:rPr>
        <w:t xml:space="preserve"> см</w:t>
      </w:r>
      <w:r>
        <w:rPr>
          <w:rFonts w:ascii="PT Astra Serif" w:hAnsi="PT Astra Serif"/>
        </w:rPr>
        <w:t>етном расчете</w:t>
      </w:r>
      <w:r w:rsidRPr="00BB0B55">
        <w:rPr>
          <w:rFonts w:ascii="PT Astra Serif" w:hAnsi="PT Astra Serif"/>
        </w:rPr>
        <w:t>.</w:t>
      </w: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2B2B2B" w:rsidRDefault="002B2B2B" w:rsidP="002B2B2B">
      <w:pPr>
        <w:suppressAutoHyphens w:val="0"/>
        <w:spacing w:after="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lang w:eastAsia="ru-RU"/>
        </w:rPr>
        <w:sectPr w:rsidR="002B2B2B" w:rsidSect="00984337">
          <w:pgSz w:w="11906" w:h="16838"/>
          <w:pgMar w:top="426" w:right="566" w:bottom="284" w:left="1134" w:header="708" w:footer="708" w:gutter="0"/>
          <w:cols w:space="708"/>
          <w:docGrid w:linePitch="360"/>
        </w:sectPr>
      </w:pPr>
    </w:p>
    <w:tbl>
      <w:tblPr>
        <w:tblW w:w="14644" w:type="dxa"/>
        <w:jc w:val="center"/>
        <w:tblInd w:w="93" w:type="dxa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271CF8" w:rsidTr="00271CF8">
        <w:trPr>
          <w:trHeight w:val="480"/>
          <w:jc w:val="center"/>
        </w:trPr>
        <w:tc>
          <w:tcPr>
            <w:tcW w:w="14644" w:type="dxa"/>
            <w:gridSpan w:val="14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271CF8" w:rsidTr="00271CF8">
        <w:trPr>
          <w:trHeight w:val="62"/>
          <w:jc w:val="center"/>
        </w:trPr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left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271CF8" w:rsidTr="00271CF8">
        <w:trPr>
          <w:trHeight w:val="735"/>
          <w:jc w:val="center"/>
        </w:trPr>
        <w:tc>
          <w:tcPr>
            <w:tcW w:w="14644" w:type="dxa"/>
            <w:gridSpan w:val="14"/>
            <w:vAlign w:val="bottom"/>
            <w:hideMark/>
          </w:tcPr>
          <w:p w:rsidR="00271CF8" w:rsidRDefault="00271CF8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</w:pPr>
            <w:r w:rsidRPr="00271CF8"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  <w:t xml:space="preserve">Выполнение работ по отсыпке грунтовых дорог в 19 микрорайоне в городе </w:t>
            </w:r>
            <w:proofErr w:type="spellStart"/>
            <w:r w:rsidRPr="00271CF8"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  <w:t>Югорске</w:t>
            </w:r>
            <w:proofErr w:type="spellEnd"/>
            <w:r>
              <w:rPr>
                <w:rFonts w:ascii="PT Astra Serif" w:hAnsi="PT Astra Serif" w:cs="Arial"/>
                <w:b/>
                <w:bCs/>
                <w:color w:val="000000"/>
                <w:kern w:val="0"/>
                <w:lang w:eastAsia="ru-RU"/>
              </w:rPr>
              <w:br/>
              <w:t xml:space="preserve"> </w:t>
            </w:r>
          </w:p>
        </w:tc>
      </w:tr>
    </w:tbl>
    <w:p w:rsidR="00271CF8" w:rsidRDefault="00271CF8" w:rsidP="00271CF8">
      <w:pPr>
        <w:spacing w:after="0"/>
        <w:ind w:left="426"/>
        <w:jc w:val="left"/>
        <w:rPr>
          <w:kern w:val="2"/>
          <w:sz w:val="20"/>
          <w:szCs w:val="20"/>
        </w:rPr>
      </w:pPr>
      <w:r>
        <w:rPr>
          <w:sz w:val="20"/>
          <w:szCs w:val="20"/>
        </w:rPr>
        <w:t>сметная стоимость ___________200,18  тыс. рублей в ценах 2001 г.</w:t>
      </w:r>
    </w:p>
    <w:p w:rsidR="00271CF8" w:rsidRDefault="00271CF8" w:rsidP="00271CF8">
      <w:pPr>
        <w:spacing w:after="0"/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в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.ч</w:t>
      </w:r>
      <w:proofErr w:type="spellEnd"/>
      <w:proofErr w:type="gramEnd"/>
      <w:r>
        <w:rPr>
          <w:sz w:val="20"/>
          <w:szCs w:val="20"/>
        </w:rPr>
        <w:t>: строительных работ ___________________166,82  тыс. рублей</w:t>
      </w:r>
    </w:p>
    <w:p w:rsidR="00271CF8" w:rsidRDefault="00271CF8" w:rsidP="00271CF8">
      <w:pPr>
        <w:spacing w:after="0"/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>нормативные затраты труда машинистов_______________31,18   чел. час</w:t>
      </w:r>
    </w:p>
    <w:p w:rsidR="00E12D73" w:rsidRDefault="00E12D73" w:rsidP="00271CF8">
      <w:pPr>
        <w:spacing w:after="0"/>
        <w:ind w:left="426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979"/>
        <w:gridCol w:w="1056"/>
        <w:gridCol w:w="1023"/>
        <w:gridCol w:w="1265"/>
        <w:gridCol w:w="1059"/>
        <w:gridCol w:w="892"/>
        <w:gridCol w:w="1415"/>
        <w:gridCol w:w="1471"/>
        <w:gridCol w:w="892"/>
        <w:gridCol w:w="1415"/>
        <w:gridCol w:w="1049"/>
        <w:gridCol w:w="935"/>
        <w:gridCol w:w="1040"/>
      </w:tblGrid>
      <w:tr w:rsidR="00E12D73" w:rsidRPr="00E12D73" w:rsidTr="00E12D73">
        <w:trPr>
          <w:trHeight w:val="720"/>
        </w:trPr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023" w:type="pct"/>
            <w:gridSpan w:val="3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56" w:type="pct"/>
            <w:gridSpan w:val="3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27" w:type="pct"/>
            <w:gridSpan w:val="3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Индексы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текущем уровне цен, руб.</w:t>
            </w:r>
          </w:p>
        </w:tc>
      </w:tr>
      <w:tr w:rsidR="00E12D73" w:rsidRPr="00E12D73" w:rsidTr="00E12D73">
        <w:trPr>
          <w:trHeight w:val="207"/>
        </w:trPr>
        <w:tc>
          <w:tcPr>
            <w:tcW w:w="261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gridSpan w:val="3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gridSpan w:val="3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541"/>
        </w:trPr>
        <w:tc>
          <w:tcPr>
            <w:tcW w:w="261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6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ул. Ермака (ул.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Вишневая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ул. Тихая)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ФЕР01-01-030-01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группа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грунтов 1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438,89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114,14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438,89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79,62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39,38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557,89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ФССЦпг-01-01-01-040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дерна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12 495,00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12 495,00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ФССЦпг-03-21-01-005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0,345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33,78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1 ул. Ермака (ул. Вишневая - ул. Тихая)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35 405,09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7 490,68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27 914,41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35 530,58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28 506,08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466,18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27 914,41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83,96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83,96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ул. Ермака (ул.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Вишневая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ул. Тихая)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35 530,58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2. 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(ул.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Кондинская</w:t>
            </w:r>
            <w:proofErr w:type="spell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ул. Клюквенная)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ФЕР01-01-030-01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группа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грунтов 1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351,11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114,14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68,48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5,904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351,11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68,48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63,69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446,30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ФССЦпг-01-01-01-040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дерна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9 996,00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9 996,00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ФССЦпг-03-21-01-005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5 619,60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5 619,60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27,02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12 335,53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12 335,53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2 ул. Комсомольская (ул.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Кондинская</w:t>
            </w:r>
            <w:proofErr w:type="spell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ул. Клюквенная)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28 324,07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5 992,54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22 331,53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28 424,45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22 804,85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372,94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22 331,53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67,16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33,22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5 619,60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67,16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33,22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(ул.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Кондинская</w:t>
            </w:r>
            <w:proofErr w:type="spell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ул. Клюквенная)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28 424,45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12 335,53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3. 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Семейная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(р-н ТП)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27,02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24 671,05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24 671,05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3 ул. Семейная (р-н ТП)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24 692,88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24 671,05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24 698,07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24 671,05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3 ул.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Семейная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(р-н ТП)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24 698,07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24 671,05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4. ул. Комсомольская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ФЕР01-01-030-01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группа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грунтов 1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263,33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114,14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4,428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263,33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47,76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23,63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334,72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ФССЦпг-01-01-01-040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дерна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7 497,00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7 497,00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ФССЦпг-03-21-01-005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4 ул. Комсомольская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21 243,04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4 494,40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16 748,64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21 318,32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17 103,62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279,70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16 748,64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50,36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50,36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4 ул. Комсомольская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21 318,32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5. ул. Первопроходцев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ФЕР01-01-030-01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группа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грунтов 1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263,33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114,14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4,428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263,33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47,76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23,63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334,72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ФССЦпг-01-01-01-040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дерна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7 497,00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7 497,00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ФССЦпг-03-21-01-005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5 ул. Первопроходцев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21 243,04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4 494,40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16 748,64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21 318,32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17 103,62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279,70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16 748,64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50,36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4 214,70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50,36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5 ул. Первопроходцев (ул. Сахарова - болото)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21 318,32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9 251,64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6. ул. Добрая (ул. Ермака - ул. Сахарова)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ФЕР01-01-030-01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группа</w:t>
            </w:r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грунтов 1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438,89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114,14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585,18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438,89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79,62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39,38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557,89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675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ФССЦпг-01-01-01-040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дерна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12 495,00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12 495,00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ФССЦпг-03-21-01-005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(108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0,345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27,29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vAlign w:val="center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33,78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 природный для строительных работ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5" w:type="pct"/>
            <w:gridSpan w:val="12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Цена=300,00/1,2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gridSpan w:val="3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30"/>
        </w:trPr>
        <w:tc>
          <w:tcPr>
            <w:tcW w:w="26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Итоги по разделу 6 ул. Добрая (ул. Ермака - ул. Сахарова)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proofErr w:type="gram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35 405,09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7 490,68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27 914,41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35 530,58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28 506,08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466,18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27 914,41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83,96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7 024,50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90,28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83,96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6 ул. Добрая (ул. Ермака - ул. Сахарова) 19 </w:t>
            </w:r>
            <w:proofErr w:type="spellStart"/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35 530,58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4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15 419,41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4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166 313,21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29 984,53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364,82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136 328,68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166 820,32</w:t>
            </w:r>
          </w:p>
        </w:tc>
        <w:tc>
          <w:tcPr>
            <w:tcW w:w="286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2022 (СМР), Письмо Минстроя России от 27.06.2022 г. №29698-ИФ/09, прил.5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138 722,32</w:t>
            </w:r>
          </w:p>
        </w:tc>
        <w:tc>
          <w:tcPr>
            <w:tcW w:w="286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1 886,53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364,82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136 328,68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339,27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167,84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90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2022 (СМР), Письмо Минстроя России от 27.06.2022 г. №29698-ИФ/09, прил.5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28 098,00</w:t>
            </w:r>
          </w:p>
        </w:tc>
        <w:tc>
          <w:tcPr>
            <w:tcW w:w="286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364,82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339,27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167,84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33 364,06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200 184,38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2D73" w:rsidRPr="00E12D73" w:rsidTr="00E12D73">
        <w:trPr>
          <w:trHeight w:val="225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12D7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E12D73" w:rsidRPr="00E12D73" w:rsidRDefault="00E12D73" w:rsidP="00E12D7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:rsidR="00E12D73" w:rsidRPr="00E12D73" w:rsidRDefault="00E12D73" w:rsidP="00E12D7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E32449">
      <w:pgSz w:w="16838" w:h="11906" w:orient="landscape"/>
      <w:pgMar w:top="567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43870"/>
    <w:rsid w:val="00055763"/>
    <w:rsid w:val="00084FF5"/>
    <w:rsid w:val="00090DB2"/>
    <w:rsid w:val="000B5991"/>
    <w:rsid w:val="00162696"/>
    <w:rsid w:val="00180925"/>
    <w:rsid w:val="00190C58"/>
    <w:rsid w:val="00193F78"/>
    <w:rsid w:val="001C3DA6"/>
    <w:rsid w:val="00233434"/>
    <w:rsid w:val="00264CBA"/>
    <w:rsid w:val="00271CF8"/>
    <w:rsid w:val="00291DBD"/>
    <w:rsid w:val="002B2B2B"/>
    <w:rsid w:val="002C233D"/>
    <w:rsid w:val="002C32EA"/>
    <w:rsid w:val="002D5DA1"/>
    <w:rsid w:val="0030711D"/>
    <w:rsid w:val="003A1386"/>
    <w:rsid w:val="003E1E8D"/>
    <w:rsid w:val="003E689C"/>
    <w:rsid w:val="0040485C"/>
    <w:rsid w:val="00433240"/>
    <w:rsid w:val="004372DE"/>
    <w:rsid w:val="00457CD3"/>
    <w:rsid w:val="00491128"/>
    <w:rsid w:val="00494DF7"/>
    <w:rsid w:val="004C21DC"/>
    <w:rsid w:val="005134C8"/>
    <w:rsid w:val="00521CC9"/>
    <w:rsid w:val="00525E45"/>
    <w:rsid w:val="00564949"/>
    <w:rsid w:val="00591853"/>
    <w:rsid w:val="00597E06"/>
    <w:rsid w:val="005A2198"/>
    <w:rsid w:val="005B7CDB"/>
    <w:rsid w:val="005F44E4"/>
    <w:rsid w:val="00651467"/>
    <w:rsid w:val="006538A3"/>
    <w:rsid w:val="00691B76"/>
    <w:rsid w:val="006C14F2"/>
    <w:rsid w:val="006D0806"/>
    <w:rsid w:val="006E5263"/>
    <w:rsid w:val="006F2565"/>
    <w:rsid w:val="00734DA8"/>
    <w:rsid w:val="00775B3B"/>
    <w:rsid w:val="00786106"/>
    <w:rsid w:val="007C19EF"/>
    <w:rsid w:val="007E2716"/>
    <w:rsid w:val="0081476D"/>
    <w:rsid w:val="00864833"/>
    <w:rsid w:val="00871A24"/>
    <w:rsid w:val="00873254"/>
    <w:rsid w:val="008732A7"/>
    <w:rsid w:val="00884EB4"/>
    <w:rsid w:val="00893B6E"/>
    <w:rsid w:val="008B1153"/>
    <w:rsid w:val="008B72BE"/>
    <w:rsid w:val="00902E28"/>
    <w:rsid w:val="00947F00"/>
    <w:rsid w:val="00957C9E"/>
    <w:rsid w:val="00980923"/>
    <w:rsid w:val="00984337"/>
    <w:rsid w:val="009865C6"/>
    <w:rsid w:val="009D67E7"/>
    <w:rsid w:val="009D77FA"/>
    <w:rsid w:val="00A203DF"/>
    <w:rsid w:val="00A2704B"/>
    <w:rsid w:val="00A404F2"/>
    <w:rsid w:val="00A45C45"/>
    <w:rsid w:val="00A52F9A"/>
    <w:rsid w:val="00A8572E"/>
    <w:rsid w:val="00B14214"/>
    <w:rsid w:val="00BA0CC2"/>
    <w:rsid w:val="00BA3928"/>
    <w:rsid w:val="00BF6DE1"/>
    <w:rsid w:val="00C012E5"/>
    <w:rsid w:val="00C1456D"/>
    <w:rsid w:val="00C32712"/>
    <w:rsid w:val="00C41162"/>
    <w:rsid w:val="00C52316"/>
    <w:rsid w:val="00C65CF2"/>
    <w:rsid w:val="00C9252D"/>
    <w:rsid w:val="00CB2AC2"/>
    <w:rsid w:val="00CB684E"/>
    <w:rsid w:val="00D56007"/>
    <w:rsid w:val="00D67890"/>
    <w:rsid w:val="00D84DB4"/>
    <w:rsid w:val="00D94D94"/>
    <w:rsid w:val="00DB18B6"/>
    <w:rsid w:val="00DC0078"/>
    <w:rsid w:val="00DC6C2B"/>
    <w:rsid w:val="00E111D0"/>
    <w:rsid w:val="00E12D73"/>
    <w:rsid w:val="00E12F1B"/>
    <w:rsid w:val="00E2650F"/>
    <w:rsid w:val="00E32449"/>
    <w:rsid w:val="00E6052C"/>
    <w:rsid w:val="00E97D78"/>
    <w:rsid w:val="00EA48B9"/>
    <w:rsid w:val="00EF7BC5"/>
    <w:rsid w:val="00F2249C"/>
    <w:rsid w:val="00F3544F"/>
    <w:rsid w:val="00F35FAE"/>
    <w:rsid w:val="00F64056"/>
    <w:rsid w:val="00FA6231"/>
    <w:rsid w:val="00FB6BEC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Bullet List,FooterText,numbered,Paragraphe de liste1,lp1,Bullet 1,Use Case List Paragraph,ТЗ список,List Paragraph,GOST_TableList"/>
    <w:basedOn w:val="a"/>
    <w:link w:val="a9"/>
    <w:uiPriority w:val="34"/>
    <w:qFormat/>
    <w:rsid w:val="00FC651F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8"/>
    <w:uiPriority w:val="34"/>
    <w:locked/>
    <w:rsid w:val="00F6405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paragraph" w:styleId="af">
    <w:name w:val="Body Text Indent"/>
    <w:basedOn w:val="a"/>
    <w:link w:val="11"/>
    <w:semiHidden/>
    <w:unhideWhenUsed/>
    <w:rsid w:val="00E32449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0">
    <w:name w:val="Основной текст с отступом Знак"/>
    <w:basedOn w:val="a0"/>
    <w:uiPriority w:val="99"/>
    <w:semiHidden/>
    <w:rsid w:val="00E324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f"/>
    <w:semiHidden/>
    <w:locked/>
    <w:rsid w:val="00E32449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af1">
    <w:name w:val="FollowedHyperlink"/>
    <w:basedOn w:val="a0"/>
    <w:uiPriority w:val="99"/>
    <w:semiHidden/>
    <w:unhideWhenUsed/>
    <w:rsid w:val="00E12D73"/>
    <w:rPr>
      <w:color w:val="800080"/>
      <w:u w:val="single"/>
    </w:rPr>
  </w:style>
  <w:style w:type="paragraph" w:customStyle="1" w:styleId="xl63">
    <w:name w:val="xl63"/>
    <w:basedOn w:val="a"/>
    <w:rsid w:val="00E12D7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E12D7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E12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E12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12D7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12D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Bullet List,FooterText,numbered,Paragraphe de liste1,lp1,Bullet 1,Use Case List Paragraph,ТЗ список,List Paragraph,GOST_TableList"/>
    <w:basedOn w:val="a"/>
    <w:link w:val="a9"/>
    <w:uiPriority w:val="34"/>
    <w:qFormat/>
    <w:rsid w:val="00FC651F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8"/>
    <w:uiPriority w:val="34"/>
    <w:locked/>
    <w:rsid w:val="00F6405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paragraph" w:styleId="af">
    <w:name w:val="Body Text Indent"/>
    <w:basedOn w:val="a"/>
    <w:link w:val="11"/>
    <w:semiHidden/>
    <w:unhideWhenUsed/>
    <w:rsid w:val="00E32449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0">
    <w:name w:val="Основной текст с отступом Знак"/>
    <w:basedOn w:val="a0"/>
    <w:uiPriority w:val="99"/>
    <w:semiHidden/>
    <w:rsid w:val="00E324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f"/>
    <w:semiHidden/>
    <w:locked/>
    <w:rsid w:val="00E32449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af1">
    <w:name w:val="FollowedHyperlink"/>
    <w:basedOn w:val="a0"/>
    <w:uiPriority w:val="99"/>
    <w:semiHidden/>
    <w:unhideWhenUsed/>
    <w:rsid w:val="00E12D73"/>
    <w:rPr>
      <w:color w:val="800080"/>
      <w:u w:val="single"/>
    </w:rPr>
  </w:style>
  <w:style w:type="paragraph" w:customStyle="1" w:styleId="xl63">
    <w:name w:val="xl63"/>
    <w:basedOn w:val="a"/>
    <w:rsid w:val="00E12D7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E12D7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E12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E12D7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E12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E12D7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E12D7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E12D7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E12D7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E12D7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E12D7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12D7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12D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12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0C3E-B2D3-4C45-9107-2F9FD1E7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10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67</cp:revision>
  <cp:lastPrinted>2022-09-06T07:56:00Z</cp:lastPrinted>
  <dcterms:created xsi:type="dcterms:W3CDTF">2020-03-02T11:19:00Z</dcterms:created>
  <dcterms:modified xsi:type="dcterms:W3CDTF">2022-09-09T09:39:00Z</dcterms:modified>
</cp:coreProperties>
</file>