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02" w:rsidRDefault="001C5902" w:rsidP="001C590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1C5902" w:rsidRDefault="001C5902" w:rsidP="001C590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1C5902" w:rsidRDefault="001C5902" w:rsidP="001C5902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1C5902" w:rsidRDefault="001C5902" w:rsidP="001C590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1C5902" w:rsidRDefault="001C5902" w:rsidP="001C59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   № 0187300005820000402-1</w:t>
      </w:r>
    </w:p>
    <w:p w:rsidR="001C5902" w:rsidRDefault="001C5902" w:rsidP="001C5902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5902" w:rsidRDefault="001C5902" w:rsidP="001C5902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5902" w:rsidRDefault="001C5902" w:rsidP="001C5902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C5902" w:rsidRDefault="001C5902" w:rsidP="001C5902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C5902" w:rsidRDefault="001C5902" w:rsidP="001C5902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C5902" w:rsidRDefault="001C5902" w:rsidP="001C5902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C5902" w:rsidRDefault="001C5902" w:rsidP="001C5902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C5902" w:rsidRDefault="001C5902" w:rsidP="001C5902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C5902" w:rsidRDefault="001C5902" w:rsidP="001C5902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1C5902" w:rsidRDefault="001C5902" w:rsidP="001C59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C5902" w:rsidRDefault="001C5902" w:rsidP="001C59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0187300005820000402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1C5902" w:rsidRDefault="001C5902" w:rsidP="001C59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0187300005820000402.</w:t>
      </w:r>
    </w:p>
    <w:p w:rsidR="001C5902" w:rsidRDefault="001C5902" w:rsidP="001C59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C5902">
        <w:rPr>
          <w:rFonts w:ascii="PT Astra Serif" w:hAnsi="PT Astra Serif"/>
          <w:sz w:val="24"/>
          <w:szCs w:val="24"/>
        </w:rPr>
        <w:t>203862201149086220100100390056810412.</w:t>
      </w:r>
    </w:p>
    <w:p w:rsidR="001C5902" w:rsidRDefault="001C5902" w:rsidP="001C5902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1C5902" w:rsidRDefault="001C5902" w:rsidP="001C590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1C5902" w:rsidRPr="00F613D9" w:rsidRDefault="001C5902" w:rsidP="001C590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</w:t>
      </w:r>
      <w:r w:rsidRPr="00F613D9">
        <w:rPr>
          <w:rFonts w:ascii="PT Astra Serif" w:hAnsi="PT Astra Serif"/>
          <w:sz w:val="24"/>
        </w:rPr>
        <w:t xml:space="preserve">номером </w:t>
      </w:r>
      <w:r w:rsidR="00F613D9" w:rsidRPr="00F613D9">
        <w:rPr>
          <w:rFonts w:ascii="PT Astra Serif" w:hAnsi="PT Astra Serif"/>
          <w:sz w:val="24"/>
        </w:rPr>
        <w:t>№40</w:t>
      </w:r>
      <w:r w:rsidRPr="00F613D9">
        <w:rPr>
          <w:rFonts w:ascii="PT Astra Serif" w:hAnsi="PT Astra Serif"/>
          <w:sz w:val="24"/>
        </w:rPr>
        <w:t>).</w:t>
      </w:r>
    </w:p>
    <w:p w:rsidR="001C5902" w:rsidRDefault="001C5902" w:rsidP="001C5902">
      <w:pPr>
        <w:jc w:val="both"/>
        <w:rPr>
          <w:rFonts w:ascii="PT Astra Serif" w:hAnsi="PT Astra Serif"/>
          <w:sz w:val="24"/>
        </w:rPr>
      </w:pPr>
      <w:r w:rsidRPr="00F613D9">
        <w:rPr>
          <w:rFonts w:ascii="PT Astra Serif" w:hAnsi="PT Astra Serif"/>
          <w:sz w:val="24"/>
        </w:rPr>
        <w:t>5. В соответствии с частью 16</w:t>
      </w:r>
      <w:r>
        <w:rPr>
          <w:rFonts w:ascii="PT Astra Serif" w:hAnsi="PT Astra Serif"/>
          <w:sz w:val="24"/>
        </w:rPr>
        <w:t xml:space="preserve">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C5902" w:rsidRDefault="001C5902" w:rsidP="001C590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1C5902" w:rsidRDefault="001C5902" w:rsidP="001C590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6.1) о соответствии участника аукциона, подавшего единственную заявку на участие в аукционе, и поданной </w:t>
      </w:r>
      <w:r w:rsidRPr="00F613D9">
        <w:rPr>
          <w:rFonts w:ascii="PT Astra Serif" w:hAnsi="PT Astra Serif"/>
          <w:sz w:val="24"/>
        </w:rPr>
        <w:t xml:space="preserve">им заявки № </w:t>
      </w:r>
      <w:r w:rsidR="00F613D9" w:rsidRPr="00F613D9">
        <w:rPr>
          <w:rFonts w:ascii="PT Astra Serif" w:hAnsi="PT Astra Serif"/>
          <w:spacing w:val="-6"/>
          <w:sz w:val="24"/>
          <w:szCs w:val="24"/>
        </w:rPr>
        <w:t>40</w:t>
      </w:r>
      <w:r w:rsidRPr="00F613D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613D9">
        <w:rPr>
          <w:rFonts w:ascii="PT Astra Serif" w:hAnsi="PT Astra Serif"/>
          <w:sz w:val="24"/>
        </w:rPr>
        <w:t>требованиям Федерального закона</w:t>
      </w:r>
      <w:r>
        <w:rPr>
          <w:rFonts w:ascii="PT Astra Serif" w:hAnsi="PT Astra Serif"/>
          <w:sz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1C5902" w:rsidRDefault="001C5902" w:rsidP="001C590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1C5902" w:rsidTr="001C5902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1C5902" w:rsidTr="001C5902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02" w:rsidRPr="00F613D9" w:rsidRDefault="00F613D9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</w:rPr>
            </w:pPr>
            <w:r w:rsidRPr="00F613D9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707A19" w:rsidRPr="00F613D9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"ДРУЖБА Н"</w:t>
                  </w:r>
                </w:p>
              </w:tc>
            </w:tr>
            <w:tr w:rsidR="00707A19" w:rsidRPr="00F613D9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6673149728</w:t>
                  </w:r>
                </w:p>
              </w:tc>
            </w:tr>
            <w:tr w:rsidR="00707A19" w:rsidRPr="00F613D9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861501001</w:t>
                  </w:r>
                </w:p>
              </w:tc>
            </w:tr>
            <w:tr w:rsidR="00707A19" w:rsidRPr="00F613D9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707A19" w:rsidRPr="00F613D9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ЮГРА86, Г СОВЕТСКИЙ, </w:t>
                  </w:r>
                  <w:proofErr w:type="gramStart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707A19" w:rsidRPr="00F613D9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07A19" w:rsidRPr="00812C77" w:rsidRDefault="00707A19" w:rsidP="00C0307F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79222567777</w:t>
                  </w:r>
                </w:p>
              </w:tc>
            </w:tr>
          </w:tbl>
          <w:p w:rsidR="001C5902" w:rsidRPr="00F613D9" w:rsidRDefault="001C590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C5902" w:rsidRDefault="001C5902" w:rsidP="001C590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1C5902" w:rsidRDefault="001C5902" w:rsidP="001C5902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C5902" w:rsidRDefault="001C5902" w:rsidP="001C5902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1C5902" w:rsidTr="001C59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1C5902" w:rsidTr="001C59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02" w:rsidRDefault="001C59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1C5902" w:rsidTr="001C59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02" w:rsidRDefault="001C59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1C5902" w:rsidTr="001C59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02" w:rsidRDefault="001C59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1C5902" w:rsidTr="001C59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02" w:rsidRDefault="001C59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1C5902" w:rsidTr="001C59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02" w:rsidRDefault="001C59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02" w:rsidRDefault="001C59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02" w:rsidRDefault="001C5902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1C5902" w:rsidRDefault="001C5902" w:rsidP="001C5902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1C5902" w:rsidRDefault="001C5902" w:rsidP="001C590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1C5902" w:rsidRDefault="001C5902" w:rsidP="001C590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1C5902" w:rsidRDefault="001C5902" w:rsidP="001C5902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1C5902" w:rsidRDefault="001C5902" w:rsidP="001C590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1C5902" w:rsidRDefault="001C5902" w:rsidP="001C590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1C5902" w:rsidRDefault="001C5902" w:rsidP="001C590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1C5902" w:rsidRDefault="001C5902" w:rsidP="001C590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1C5902" w:rsidRDefault="001C5902" w:rsidP="001C5902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707A19" w:rsidRPr="001D22A8" w:rsidRDefault="001C5902" w:rsidP="001D22A8">
      <w:pPr>
        <w:ind w:left="-993"/>
        <w:rPr>
          <w:color w:val="FF0000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707A19" w:rsidRPr="00656EE3" w:rsidRDefault="00707A19" w:rsidP="00707A19">
      <w:pPr>
        <w:ind w:hanging="426"/>
        <w:jc w:val="right"/>
      </w:pPr>
      <w:r>
        <w:lastRenderedPageBreak/>
        <w:t xml:space="preserve">Приложение </w:t>
      </w:r>
    </w:p>
    <w:p w:rsidR="00707A19" w:rsidRPr="00656EE3" w:rsidRDefault="00707A19" w:rsidP="00707A19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707A19" w:rsidRPr="00656EE3" w:rsidRDefault="00707A19" w:rsidP="00707A19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707A19" w:rsidRPr="001D22A8" w:rsidRDefault="00707A19" w:rsidP="001D22A8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402</w:t>
      </w:r>
      <w:r w:rsidRPr="00656EE3">
        <w:t>-1</w:t>
      </w:r>
    </w:p>
    <w:p w:rsidR="00707A19" w:rsidRPr="00707A19" w:rsidRDefault="00707A19" w:rsidP="00707A19">
      <w:pPr>
        <w:ind w:left="284"/>
        <w:jc w:val="center"/>
        <w:rPr>
          <w:sz w:val="22"/>
          <w:szCs w:val="22"/>
        </w:rPr>
      </w:pPr>
      <w:r w:rsidRPr="00707A19">
        <w:rPr>
          <w:sz w:val="22"/>
          <w:szCs w:val="22"/>
        </w:rPr>
        <w:t>Таблица рассмотрения единственной заявки</w:t>
      </w:r>
    </w:p>
    <w:p w:rsidR="00707A19" w:rsidRPr="00707A19" w:rsidRDefault="00707A19" w:rsidP="00707A19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 w:rsidRPr="00707A19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707A19" w:rsidRPr="006C616B" w:rsidRDefault="00707A19" w:rsidP="001D22A8">
      <w:pPr>
        <w:pStyle w:val="a5"/>
        <w:keepNext/>
        <w:keepLines/>
        <w:suppressLineNumbers/>
        <w:suppressAutoHyphens/>
        <w:ind w:left="284"/>
        <w:contextualSpacing w:val="0"/>
        <w:jc w:val="center"/>
      </w:pPr>
      <w:r w:rsidRPr="00707A19">
        <w:t>на поставку жилых помещений.</w:t>
      </w:r>
    </w:p>
    <w:p w:rsidR="00707A19" w:rsidRPr="00656EE3" w:rsidRDefault="00707A19" w:rsidP="00707A19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824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599"/>
        <w:gridCol w:w="1538"/>
        <w:gridCol w:w="2056"/>
      </w:tblGrid>
      <w:tr w:rsidR="00707A19" w:rsidRPr="00A5418C" w:rsidTr="001D22A8">
        <w:trPr>
          <w:trHeight w:val="330"/>
        </w:trPr>
        <w:tc>
          <w:tcPr>
            <w:tcW w:w="8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A5418C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A5418C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  <w:tr w:rsidR="00707A19" w:rsidRPr="00A5418C" w:rsidTr="001D22A8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A5418C" w:rsidRDefault="00707A19" w:rsidP="00C0307F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A5418C" w:rsidRDefault="00707A19" w:rsidP="00C0307F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707A19" w:rsidRPr="00A5418C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«Дружба Н»</w:t>
            </w:r>
          </w:p>
        </w:tc>
      </w:tr>
      <w:tr w:rsidR="00707A19" w:rsidRPr="00A5418C" w:rsidTr="001D22A8">
        <w:trPr>
          <w:trHeight w:val="70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1.</w:t>
            </w:r>
            <w:r w:rsidRPr="001D22A8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1D22A8">
              <w:rPr>
                <w:bCs/>
                <w:sz w:val="14"/>
                <w:szCs w:val="14"/>
              </w:rPr>
              <w:t>закупки -</w:t>
            </w:r>
            <w:r w:rsidRPr="001D22A8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1D22A8">
              <w:rPr>
                <w:bCs/>
                <w:sz w:val="14"/>
                <w:szCs w:val="14"/>
              </w:rPr>
              <w:t>закупки</w:t>
            </w:r>
            <w:r w:rsidRPr="001D22A8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1D22A8">
              <w:rPr>
                <w:bCs/>
                <w:sz w:val="14"/>
                <w:szCs w:val="14"/>
              </w:rPr>
              <w:t>несостоятельным (</w:t>
            </w:r>
            <w:r w:rsidRPr="001D22A8">
              <w:rPr>
                <w:sz w:val="14"/>
                <w:szCs w:val="14"/>
              </w:rPr>
              <w:t>банкротом</w:t>
            </w:r>
            <w:r w:rsidRPr="001D22A8">
              <w:rPr>
                <w:bCs/>
                <w:sz w:val="14"/>
                <w:szCs w:val="14"/>
              </w:rPr>
              <w:t>)</w:t>
            </w:r>
            <w:r w:rsidRPr="001D22A8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707A19" w:rsidRPr="00A5418C" w:rsidTr="001D22A8">
        <w:trPr>
          <w:trHeight w:val="38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707A19" w:rsidRPr="00A5418C" w:rsidTr="001D22A8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 xml:space="preserve">3. </w:t>
            </w:r>
            <w:proofErr w:type="gramStart"/>
            <w:r w:rsidRPr="001D22A8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D22A8">
              <w:rPr>
                <w:sz w:val="14"/>
                <w:szCs w:val="14"/>
              </w:rPr>
              <w:t xml:space="preserve"> </w:t>
            </w:r>
            <w:proofErr w:type="gramStart"/>
            <w:r w:rsidRPr="001D22A8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D22A8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D22A8">
              <w:rPr>
                <w:sz w:val="14"/>
                <w:szCs w:val="14"/>
              </w:rPr>
              <w:t>указанных</w:t>
            </w:r>
            <w:proofErr w:type="gramEnd"/>
            <w:r w:rsidRPr="001D22A8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707A19" w:rsidRPr="00A5418C" w:rsidTr="001D22A8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1D22A8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D22A8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707A19" w:rsidRPr="00A5418C" w:rsidTr="001D22A8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 xml:space="preserve">5. </w:t>
            </w:r>
            <w:proofErr w:type="gramStart"/>
            <w:r w:rsidRPr="001D22A8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D22A8">
              <w:rPr>
                <w:sz w:val="14"/>
                <w:szCs w:val="14"/>
              </w:rPr>
              <w:t xml:space="preserve"> </w:t>
            </w:r>
            <w:proofErr w:type="gramStart"/>
            <w:r w:rsidRPr="001D22A8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D22A8">
              <w:rPr>
                <w:sz w:val="14"/>
                <w:szCs w:val="14"/>
              </w:rPr>
              <w:t>неполнородными</w:t>
            </w:r>
            <w:proofErr w:type="spellEnd"/>
            <w:r w:rsidRPr="001D22A8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D22A8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707A19" w:rsidRPr="00A5418C" w:rsidTr="001D22A8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1D22A8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707A19" w:rsidRPr="00A5418C" w:rsidTr="001D22A8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7.</w:t>
            </w:r>
            <w:r w:rsidRPr="001D22A8">
              <w:rPr>
                <w:sz w:val="14"/>
                <w:szCs w:val="14"/>
              </w:rPr>
              <w:t xml:space="preserve"> </w:t>
            </w:r>
            <w:r w:rsidRPr="001D22A8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1D22A8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707A19" w:rsidRPr="00A5418C" w:rsidTr="001D22A8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1D22A8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707A19" w:rsidRPr="00A5418C" w:rsidTr="001D22A8">
        <w:trPr>
          <w:trHeight w:val="42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707A19" w:rsidRPr="00A5418C" w:rsidTr="001D22A8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1D22A8">
              <w:rPr>
                <w:b/>
                <w:color w:val="000000"/>
                <w:sz w:val="14"/>
                <w:szCs w:val="14"/>
              </w:rPr>
              <w:t>19 622 104,00</w:t>
            </w:r>
            <w:r w:rsidRPr="001D22A8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A19" w:rsidRPr="001D22A8" w:rsidRDefault="00707A19" w:rsidP="00C0307F">
            <w:pPr>
              <w:keepNext/>
              <w:keepLines/>
              <w:suppressLineNumbers/>
              <w:suppressAutoHyphens/>
              <w:rPr>
                <w:iCs/>
                <w:sz w:val="14"/>
                <w:szCs w:val="14"/>
              </w:rPr>
            </w:pPr>
          </w:p>
        </w:tc>
      </w:tr>
      <w:tr w:rsidR="00707A19" w:rsidRPr="00A5418C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1D22A8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ООО «Дружба Н»</w:t>
            </w:r>
          </w:p>
        </w:tc>
      </w:tr>
      <w:tr w:rsidR="00707A19" w:rsidRPr="00A5418C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 xml:space="preserve"> ул. Гастелло, д.13А</w:t>
            </w:r>
            <w:r w:rsidRPr="001D22A8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707A19" w:rsidRPr="001D22A8" w:rsidRDefault="00707A19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Квартиры: № 16,17,20,21,24,25.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1D22A8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Соответствует</w:t>
            </w:r>
          </w:p>
        </w:tc>
      </w:tr>
      <w:tr w:rsidR="00707A19" w:rsidRPr="00A5418C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1D22A8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1D22A8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1D22A8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</w:t>
            </w:r>
            <w:r w:rsidRPr="001D22A8">
              <w:rPr>
                <w:rFonts w:ascii="Roboto" w:hAnsi="Roboto"/>
                <w:color w:val="000000"/>
                <w:sz w:val="14"/>
                <w:szCs w:val="14"/>
              </w:rPr>
              <w:lastRenderedPageBreak/>
              <w:t>составных частей, не были восстановлены потребительские свойства)</w:t>
            </w:r>
            <w:r w:rsidRPr="001D22A8">
              <w:rPr>
                <w:sz w:val="14"/>
                <w:szCs w:val="14"/>
              </w:rPr>
              <w:t>.</w:t>
            </w:r>
          </w:p>
          <w:p w:rsidR="00707A19" w:rsidRPr="001D22A8" w:rsidRDefault="00707A19" w:rsidP="00C0307F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jc w:val="center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lastRenderedPageBreak/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lastRenderedPageBreak/>
              <w:t xml:space="preserve">Требование к </w:t>
            </w:r>
            <w:proofErr w:type="spellStart"/>
            <w:r w:rsidRPr="001D22A8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1D22A8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D22A8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1D22A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1D22A8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1D22A8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1D22A8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1D22A8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1D22A8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1D22A8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1D22A8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1D22A8">
              <w:rPr>
                <w:sz w:val="14"/>
                <w:szCs w:val="14"/>
              </w:rPr>
              <w:t>с опломбированным</w:t>
            </w:r>
            <w:r w:rsidRPr="001D22A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22A8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1D22A8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1D22A8">
              <w:rPr>
                <w:color w:val="000000"/>
                <w:sz w:val="14"/>
                <w:szCs w:val="14"/>
              </w:rPr>
              <w:t xml:space="preserve">; 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1D22A8">
              <w:rPr>
                <w:b/>
                <w:color w:val="000000"/>
                <w:sz w:val="14"/>
                <w:szCs w:val="14"/>
              </w:rPr>
              <w:t>или</w:t>
            </w:r>
            <w:r w:rsidRPr="001D22A8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1D22A8">
              <w:rPr>
                <w:b/>
                <w:color w:val="000000"/>
                <w:sz w:val="14"/>
                <w:szCs w:val="14"/>
              </w:rPr>
              <w:t>не менее</w:t>
            </w:r>
            <w:r w:rsidRPr="001D22A8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1D22A8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1D22A8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1D22A8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1D22A8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1D22A8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1D22A8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707A19" w:rsidRPr="001D22A8" w:rsidRDefault="00707A19" w:rsidP="00C0307F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1D22A8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1D22A8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В состав жилого помещения должны входить: не более двух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707A19" w:rsidRPr="00656EE3" w:rsidTr="001D22A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1D22A8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color w:val="000000"/>
                <w:sz w:val="14"/>
                <w:szCs w:val="14"/>
              </w:rPr>
              <w:t xml:space="preserve">Не менее </w:t>
            </w:r>
            <w:r w:rsidRPr="001D22A8">
              <w:rPr>
                <w:b/>
                <w:color w:val="000000"/>
                <w:sz w:val="14"/>
                <w:szCs w:val="14"/>
              </w:rPr>
              <w:t>344,0</w:t>
            </w:r>
            <w:r w:rsidRPr="001D22A8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19" w:rsidRPr="001D22A8" w:rsidRDefault="00707A19" w:rsidP="00C0307F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1D22A8">
              <w:rPr>
                <w:b/>
                <w:color w:val="000000"/>
                <w:sz w:val="14"/>
                <w:szCs w:val="14"/>
              </w:rPr>
              <w:t>344,6</w:t>
            </w:r>
            <w:r w:rsidRPr="001D22A8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707A19" w:rsidRPr="005878C2" w:rsidRDefault="00707A19" w:rsidP="00707A19">
      <w:pPr>
        <w:rPr>
          <w:sz w:val="24"/>
          <w:szCs w:val="24"/>
        </w:rPr>
      </w:pPr>
    </w:p>
    <w:p w:rsidR="00707A19" w:rsidRDefault="00707A19"/>
    <w:sectPr w:rsidR="00707A19" w:rsidSect="00F613D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73"/>
    <w:rsid w:val="000E1C42"/>
    <w:rsid w:val="001C5902"/>
    <w:rsid w:val="001D22A8"/>
    <w:rsid w:val="0040621C"/>
    <w:rsid w:val="00707A19"/>
    <w:rsid w:val="007E4273"/>
    <w:rsid w:val="00887B66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590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1C590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1C5902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707A19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590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1C590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1C5902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707A19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2020-12-14T10:22:00Z</cp:lastPrinted>
  <dcterms:created xsi:type="dcterms:W3CDTF">2020-12-07T09:22:00Z</dcterms:created>
  <dcterms:modified xsi:type="dcterms:W3CDTF">2020-12-14T10:22:00Z</dcterms:modified>
</cp:coreProperties>
</file>