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DC6163">
        <w:rPr>
          <w:rFonts w:ascii="PT Astra Serif" w:hAnsi="PT Astra Serif"/>
          <w:sz w:val="24"/>
          <w:szCs w:val="24"/>
        </w:rPr>
        <w:t>01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DC6163">
        <w:rPr>
          <w:rFonts w:ascii="PT Astra Serif" w:hAnsi="PT Astra Serif"/>
          <w:sz w:val="24"/>
          <w:szCs w:val="24"/>
        </w:rPr>
        <w:t>дека</w:t>
      </w:r>
      <w:r w:rsidR="007860D8" w:rsidRPr="0046231C">
        <w:rPr>
          <w:rFonts w:ascii="PT Astra Serif" w:hAnsi="PT Astra Serif"/>
          <w:sz w:val="24"/>
          <w:szCs w:val="24"/>
        </w:rPr>
        <w:t>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8C5D9F">
        <w:rPr>
          <w:rFonts w:ascii="PT Astra Serif" w:hAnsi="PT Astra Serif"/>
          <w:sz w:val="24"/>
          <w:szCs w:val="24"/>
        </w:rPr>
        <w:t>31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C6163" w:rsidRPr="001D542D" w:rsidRDefault="00DC6163" w:rsidP="00DC6163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6163" w:rsidRPr="00A01A90" w:rsidRDefault="00DC6163" w:rsidP="00DC6163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Югорска,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Югорска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>ниципальных нужд города Югорска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9820F1">
        <w:rPr>
          <w:rFonts w:ascii="PT Astra Serif" w:hAnsi="PT Astra Serif"/>
          <w:spacing w:val="-6"/>
          <w:sz w:val="24"/>
          <w:szCs w:val="24"/>
        </w:rPr>
        <w:t xml:space="preserve"> департамента финансов администрации города Югорска</w:t>
      </w:r>
      <w:bookmarkStart w:id="0" w:name="_GoBack"/>
      <w:bookmarkEnd w:id="0"/>
      <w:r w:rsidRPr="00A01A90">
        <w:rPr>
          <w:rFonts w:ascii="PT Astra Serif" w:hAnsi="PT Astra Serif"/>
          <w:sz w:val="24"/>
          <w:szCs w:val="24"/>
        </w:rPr>
        <w:t>;</w:t>
      </w:r>
    </w:p>
    <w:p w:rsidR="00DC6163" w:rsidRPr="001D542D" w:rsidRDefault="00DC6163" w:rsidP="00DC616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>аместитель директора департамента жилищно-коммунального и строительного комплекса администрации города Югорска;</w:t>
      </w:r>
    </w:p>
    <w:p w:rsidR="003C3275" w:rsidRPr="009B41B7" w:rsidRDefault="002A6CC8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3C3275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3C3275" w:rsidRPr="009B41B7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F112EF" w:rsidRPr="009B41B7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C6163">
        <w:rPr>
          <w:rFonts w:ascii="PT Astra Serif" w:hAnsi="PT Astra Serif"/>
          <w:sz w:val="24"/>
          <w:szCs w:val="24"/>
        </w:rPr>
        <w:t>3</w:t>
      </w:r>
      <w:r w:rsidR="009D185D" w:rsidRPr="009B41B7">
        <w:rPr>
          <w:rFonts w:ascii="PT Astra Serif" w:hAnsi="PT Astra Serif"/>
          <w:sz w:val="24"/>
          <w:szCs w:val="24"/>
        </w:rPr>
        <w:t xml:space="preserve"> </w:t>
      </w:r>
      <w:r w:rsidRPr="009B41B7">
        <w:rPr>
          <w:rFonts w:ascii="PT Astra Serif" w:hAnsi="PT Astra Serif"/>
          <w:sz w:val="24"/>
          <w:szCs w:val="24"/>
        </w:rPr>
        <w:t>член</w:t>
      </w:r>
      <w:r w:rsidR="000B4544" w:rsidRPr="009B41B7">
        <w:rPr>
          <w:rFonts w:ascii="PT Astra Serif" w:hAnsi="PT Astra Serif"/>
          <w:sz w:val="24"/>
          <w:szCs w:val="24"/>
        </w:rPr>
        <w:t>а</w:t>
      </w:r>
      <w:r w:rsidRPr="009B41B7">
        <w:rPr>
          <w:rFonts w:ascii="PT Astra Serif" w:hAnsi="PT Astra Serif"/>
          <w:sz w:val="24"/>
          <w:szCs w:val="24"/>
        </w:rPr>
        <w:t xml:space="preserve">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476861" w:rsidRPr="009B41B7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C5D9F"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476861" w:rsidRPr="009B41B7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C5D9F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8C5D9F">
        <w:rPr>
          <w:rFonts w:ascii="PT Astra Serif" w:hAnsi="PT Astra Serif"/>
          <w:spacing w:val="-6"/>
          <w:sz w:val="24"/>
          <w:szCs w:val="24"/>
        </w:rPr>
        <w:t>31</w:t>
      </w:r>
      <w:r w:rsidRPr="008C5D9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C5D9F" w:rsidRPr="009B41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Pr="008C5D9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C5D9F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8C5D9F">
        <w:rPr>
          <w:rFonts w:ascii="PT Astra Serif" w:hAnsi="PT Astra Serif"/>
          <w:sz w:val="24"/>
          <w:szCs w:val="24"/>
        </w:rPr>
        <w:t xml:space="preserve">  на </w:t>
      </w:r>
      <w:r w:rsidR="008C5D9F" w:rsidRPr="008C5D9F">
        <w:rPr>
          <w:rFonts w:ascii="PT Astra Serif" w:hAnsi="PT Astra Serif"/>
          <w:sz w:val="24"/>
          <w:szCs w:val="24"/>
        </w:rPr>
        <w:t>поставку продуктов питания (изделия макаронные) для дошкольных групп</w:t>
      </w:r>
      <w:r w:rsidR="00AE144B" w:rsidRPr="008C5D9F">
        <w:rPr>
          <w:rFonts w:ascii="PT Astra Serif" w:hAnsi="PT Astra Serif"/>
          <w:sz w:val="24"/>
          <w:szCs w:val="24"/>
        </w:rPr>
        <w:t>.</w:t>
      </w:r>
    </w:p>
    <w:p w:rsidR="00476861" w:rsidRPr="008C5D9F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B41B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41B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B41B7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C5D9F">
        <w:rPr>
          <w:rFonts w:ascii="PT Astra Serif" w:hAnsi="PT Astra Serif"/>
          <w:bCs/>
          <w:sz w:val="24"/>
          <w:szCs w:val="24"/>
        </w:rPr>
        <w:t>01873000058220003</w:t>
      </w:r>
      <w:r w:rsidR="008C5D9F" w:rsidRPr="008C5D9F">
        <w:rPr>
          <w:rFonts w:ascii="PT Astra Serif" w:hAnsi="PT Astra Serif"/>
          <w:bCs/>
          <w:sz w:val="24"/>
          <w:szCs w:val="24"/>
        </w:rPr>
        <w:t>31</w:t>
      </w:r>
      <w:r w:rsidRPr="008C5D9F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8C5D9F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C5D9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5D9F" w:rsidRPr="008C5D9F">
        <w:rPr>
          <w:rFonts w:ascii="PT Astra Serif" w:hAnsi="PT Astra Serif"/>
          <w:sz w:val="24"/>
          <w:szCs w:val="24"/>
        </w:rPr>
        <w:t>223862200101186220100100290011073244</w:t>
      </w:r>
      <w:r w:rsidRPr="008C5D9F">
        <w:rPr>
          <w:rFonts w:ascii="PT Astra Serif" w:hAnsi="PT Astra Serif"/>
          <w:sz w:val="24"/>
          <w:szCs w:val="24"/>
        </w:rPr>
        <w:t>.</w:t>
      </w:r>
    </w:p>
    <w:p w:rsidR="0046231C" w:rsidRPr="009B41B7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9B41B7">
        <w:rPr>
          <w:rFonts w:ascii="PT Astra Serif" w:hAnsi="PT Astra Serif"/>
          <w:sz w:val="24"/>
          <w:szCs w:val="24"/>
        </w:rPr>
        <w:t xml:space="preserve">         </w:t>
      </w:r>
      <w:r w:rsidR="00476861" w:rsidRPr="009B41B7">
        <w:rPr>
          <w:rFonts w:ascii="PT Astra Serif" w:hAnsi="PT Astra Serif"/>
          <w:sz w:val="24"/>
          <w:szCs w:val="24"/>
        </w:rPr>
        <w:t xml:space="preserve">2. </w:t>
      </w:r>
      <w:r w:rsidR="00103B56" w:rsidRPr="009B41B7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C5D9F">
        <w:rPr>
          <w:rFonts w:ascii="PT Astra Serif" w:hAnsi="PT Astra Serif"/>
          <w:sz w:val="24"/>
          <w:szCs w:val="24"/>
          <w:lang w:eastAsia="en-US"/>
        </w:rPr>
        <w:t>договора</w:t>
      </w:r>
      <w:r w:rsidRPr="009B41B7">
        <w:rPr>
          <w:rFonts w:ascii="PT Astra Serif" w:hAnsi="PT Astra Serif"/>
          <w:sz w:val="24"/>
          <w:szCs w:val="24"/>
          <w:lang w:eastAsia="en-US"/>
        </w:rPr>
        <w:t xml:space="preserve">: </w:t>
      </w:r>
      <w:r w:rsidR="008C5D9F">
        <w:rPr>
          <w:rFonts w:ascii="PT Astra Serif" w:hAnsi="PT Astra Serif"/>
          <w:sz w:val="24"/>
          <w:szCs w:val="24"/>
          <w:lang w:eastAsia="en-US"/>
        </w:rPr>
        <w:t>11 000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>рубл</w:t>
      </w:r>
      <w:r w:rsidR="00A714AC" w:rsidRPr="009B41B7">
        <w:rPr>
          <w:rFonts w:ascii="PT Astra Serif" w:hAnsi="PT Astra Serif"/>
          <w:sz w:val="24"/>
          <w:szCs w:val="24"/>
          <w:lang w:eastAsia="en-US"/>
        </w:rPr>
        <w:t>ей</w:t>
      </w:r>
      <w:r w:rsidR="00861D10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C5D9F">
        <w:rPr>
          <w:rFonts w:ascii="PT Astra Serif" w:hAnsi="PT Astra Serif"/>
          <w:sz w:val="24"/>
          <w:szCs w:val="24"/>
          <w:lang w:eastAsia="en-US"/>
        </w:rPr>
        <w:t>00</w:t>
      </w:r>
      <w:r w:rsidRPr="009B41B7">
        <w:rPr>
          <w:rFonts w:ascii="PT Astra Serif" w:hAnsi="PT Astra Serif"/>
          <w:sz w:val="24"/>
          <w:szCs w:val="24"/>
          <w:lang w:eastAsia="en-US"/>
        </w:rPr>
        <w:t xml:space="preserve"> копеек.</w:t>
      </w:r>
    </w:p>
    <w:p w:rsidR="00476861" w:rsidRPr="009B41B7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8C5D9F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>628260, Ханты-Мансийский автономный округ-Югра, г. Югорск, ул.</w:t>
      </w:r>
      <w:r w:rsidR="008C5D9F"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9B41B7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C5D9F">
        <w:rPr>
          <w:rFonts w:ascii="PT Astra Serif" w:hAnsi="PT Astra Serif"/>
          <w:sz w:val="24"/>
          <w:szCs w:val="24"/>
        </w:rPr>
        <w:t>13</w:t>
      </w:r>
      <w:r w:rsidRPr="009B41B7">
        <w:rPr>
          <w:rFonts w:ascii="PT Astra Serif" w:hAnsi="PT Astra Serif"/>
          <w:sz w:val="24"/>
          <w:szCs w:val="24"/>
        </w:rPr>
        <w:t>).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B41B7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8C5D9F">
        <w:rPr>
          <w:rFonts w:ascii="PT Astra Serif" w:hAnsi="PT Astra Serif"/>
          <w:bCs/>
          <w:sz w:val="24"/>
          <w:szCs w:val="24"/>
        </w:rPr>
        <w:t>13</w:t>
      </w:r>
      <w:r w:rsidR="005642EB" w:rsidRPr="009B41B7">
        <w:rPr>
          <w:rFonts w:ascii="PT Astra Serif" w:hAnsi="PT Astra Serif"/>
          <w:bCs/>
          <w:sz w:val="24"/>
          <w:szCs w:val="24"/>
        </w:rPr>
        <w:t>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9B41B7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0B4544" w:rsidRPr="005B3F9A" w:rsidRDefault="000B4544" w:rsidP="00DC6163">
      <w:pPr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3C3275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F8170F" w:rsidRDefault="003C3275" w:rsidP="004F5F8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2A373B" w:rsidRDefault="003C3275" w:rsidP="004F5F8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75" w:rsidRDefault="003C3275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DC6163" w:rsidRDefault="00DC6163" w:rsidP="00DC616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="00F5527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DC6163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55270" w:rsidRDefault="00DC6163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</w:t>
      </w:r>
      <w:r w:rsidR="00F55270">
        <w:rPr>
          <w:rFonts w:ascii="PT Astra Serif" w:hAnsi="PT Astra Serif"/>
          <w:b/>
          <w:sz w:val="24"/>
          <w:szCs w:val="24"/>
        </w:rPr>
        <w:t>Члены  комиссии</w:t>
      </w:r>
    </w:p>
    <w:p w:rsidR="003C3275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</w:p>
    <w:p w:rsidR="00CA68E1" w:rsidRPr="00DB228A" w:rsidRDefault="003C3275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Serif" w:eastAsia="Calibri" w:hAnsi="PT Serif"/>
          <w:sz w:val="22"/>
          <w:szCs w:val="22"/>
        </w:rPr>
        <w:t>_____________________А.Т. Абдуллаев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    </w:t>
      </w:r>
      <w:r w:rsidRPr="00F8170F">
        <w:rPr>
          <w:sz w:val="24"/>
          <w:szCs w:val="24"/>
        </w:rPr>
        <w:t xml:space="preserve">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DC6163">
        <w:rPr>
          <w:sz w:val="24"/>
          <w:szCs w:val="24"/>
        </w:rPr>
        <w:t xml:space="preserve">       </w:t>
      </w:r>
      <w:r w:rsidR="00306FDB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5D9F">
        <w:rPr>
          <w:rFonts w:ascii="PT Astra Serif" w:hAnsi="PT Astra Serif"/>
          <w:sz w:val="24"/>
          <w:szCs w:val="24"/>
        </w:rPr>
        <w:t>О.В. Смирнова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3D4963">
      <w:pgSz w:w="11905" w:h="16837"/>
      <w:pgMar w:top="851" w:right="706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3541A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05BCA"/>
    <w:rsid w:val="0021045D"/>
    <w:rsid w:val="00224D16"/>
    <w:rsid w:val="002263F8"/>
    <w:rsid w:val="002306E4"/>
    <w:rsid w:val="00234A48"/>
    <w:rsid w:val="00247EE5"/>
    <w:rsid w:val="00297C9E"/>
    <w:rsid w:val="002A047D"/>
    <w:rsid w:val="002A63B3"/>
    <w:rsid w:val="002A6817"/>
    <w:rsid w:val="002A6CC8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C3275"/>
    <w:rsid w:val="003D103A"/>
    <w:rsid w:val="003D4963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1CC5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5D9F"/>
    <w:rsid w:val="008C6244"/>
    <w:rsid w:val="008E0821"/>
    <w:rsid w:val="008F7D4F"/>
    <w:rsid w:val="009010F0"/>
    <w:rsid w:val="00920CAD"/>
    <w:rsid w:val="009520CC"/>
    <w:rsid w:val="00973C21"/>
    <w:rsid w:val="00980F0D"/>
    <w:rsid w:val="009820F1"/>
    <w:rsid w:val="00992F48"/>
    <w:rsid w:val="0099417B"/>
    <w:rsid w:val="009972F6"/>
    <w:rsid w:val="009B41B7"/>
    <w:rsid w:val="009D185D"/>
    <w:rsid w:val="00A1700D"/>
    <w:rsid w:val="00A20CBA"/>
    <w:rsid w:val="00A47AB8"/>
    <w:rsid w:val="00A66E78"/>
    <w:rsid w:val="00A714AC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6163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4FD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96</cp:revision>
  <cp:lastPrinted>2022-12-01T05:10:00Z</cp:lastPrinted>
  <dcterms:created xsi:type="dcterms:W3CDTF">2022-02-22T06:44:00Z</dcterms:created>
  <dcterms:modified xsi:type="dcterms:W3CDTF">2022-12-01T05:37:00Z</dcterms:modified>
</cp:coreProperties>
</file>