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CC3342">
        <w:rPr>
          <w:b/>
        </w:rPr>
        <w:t>оценке</w:t>
      </w:r>
      <w:r w:rsidR="00E15A17">
        <w:rPr>
          <w:b/>
        </w:rPr>
        <w:t xml:space="preserve">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8F3AB9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  <w:r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социально-ориентированных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Офисная, компьютерная </w:t>
            </w:r>
            <w:r>
              <w:rPr>
                <w:szCs w:val="28"/>
              </w:rPr>
              <w:lastRenderedPageBreak/>
              <w:t>техники, оборудование</w:t>
            </w: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</w:t>
            </w:r>
            <w:proofErr w:type="gramStart"/>
            <w:r>
              <w:rPr>
                <w:szCs w:val="28"/>
              </w:rPr>
              <w:t>нежилых</w:t>
            </w:r>
            <w:proofErr w:type="gramEnd"/>
            <w:r>
              <w:rPr>
                <w:szCs w:val="28"/>
              </w:rPr>
              <w:t xml:space="preserve"> помещения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N 297 "Об утверждении Федерального стандарта оценки "Общие понятия оценки, подходы и </w:t>
            </w:r>
            <w:r w:rsidRPr="008C60AE">
              <w:rPr>
                <w:rFonts w:eastAsia="Calibri"/>
                <w:lang w:eastAsia="en-US"/>
              </w:rPr>
              <w:lastRenderedPageBreak/>
              <w:t>требования к проведению оценки"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 Министерства экономического развития РФ от 20 мая 2015 г. N 298 "Об утверждении Федерального стандарта оценки "Цель оценки и виды стоимости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20 мая 2015 г. N 299 "Об утверждении Федерального стандарта оценки "Требования к отчету об оценке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25 сентября 2014 г. N 611 "Об утверждении Федерального стандарта оценки "Оценка недвижимости"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1 июня 2015 г. N 328 "Об утверждении Федерального стандарта оценки "Оценка стоимости машин и оборудования".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8C60AE" w:rsidP="00E15A17">
            <w:pPr>
              <w:ind w:right="-109" w:firstLine="34"/>
              <w:jc w:val="center"/>
            </w:pPr>
            <w:r>
              <w:t>3500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BA0B23" w:rsidRDefault="008C60AE" w:rsidP="00CE739C">
            <w:pPr>
              <w:ind w:right="-109" w:firstLine="34"/>
              <w:jc w:val="center"/>
              <w:rPr>
                <w:lang w:val="en-US"/>
              </w:rPr>
            </w:pPr>
            <w:r>
              <w:t>500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8C60AE" w:rsidP="00BA0B23">
            <w:pPr>
              <w:ind w:right="-109" w:firstLine="0"/>
            </w:pPr>
            <w:r>
              <w:t>45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8B0645">
            <w:pPr>
              <w:ind w:right="-109" w:firstLine="34"/>
              <w:jc w:val="center"/>
            </w:pPr>
            <w:r>
              <w:t>1900</w:t>
            </w:r>
          </w:p>
          <w:p w:rsidR="008C60AE" w:rsidRDefault="008C60AE" w:rsidP="008B0645">
            <w:pPr>
              <w:ind w:right="-109" w:firstLine="34"/>
              <w:jc w:val="center"/>
            </w:pPr>
            <w:r>
              <w:t>5000</w:t>
            </w:r>
          </w:p>
          <w:p w:rsidR="008C60AE" w:rsidRPr="00384688" w:rsidRDefault="008C60AE" w:rsidP="008B0645">
            <w:pPr>
              <w:ind w:right="-109" w:firstLine="34"/>
              <w:jc w:val="center"/>
            </w:pPr>
            <w:r>
              <w:t>14500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8C60AE" w:rsidP="00E15A17">
            <w:pPr>
              <w:ind w:right="-250" w:firstLine="0"/>
            </w:pPr>
            <w:r>
              <w:t>4500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8C60AE" w:rsidP="00E15A17">
            <w:pPr>
              <w:ind w:right="-250" w:firstLine="0"/>
            </w:pPr>
            <w:r>
              <w:t>300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8C60AE" w:rsidP="00E15A17">
            <w:pPr>
              <w:ind w:right="-250" w:firstLine="0"/>
            </w:pPr>
            <w:r>
              <w:t>55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8B0645">
            <w:pPr>
              <w:ind w:right="-250" w:firstLine="0"/>
            </w:pPr>
            <w:r>
              <w:t>2100</w:t>
            </w:r>
          </w:p>
          <w:p w:rsidR="008C60AE" w:rsidRDefault="008C60AE" w:rsidP="008B0645">
            <w:pPr>
              <w:ind w:right="-250" w:firstLine="0"/>
            </w:pPr>
            <w:r>
              <w:t>5000</w:t>
            </w:r>
          </w:p>
          <w:p w:rsidR="008C60AE" w:rsidRPr="00384688" w:rsidRDefault="008C60AE" w:rsidP="008B0645">
            <w:pPr>
              <w:ind w:right="-250" w:firstLine="0"/>
            </w:pPr>
            <w:r>
              <w:t>17500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000</w:t>
            </w: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8C60AE" w:rsidRPr="009250E0" w:rsidRDefault="008C60AE" w:rsidP="008C60AE">
            <w:pPr>
              <w:ind w:firstLine="0"/>
            </w:pPr>
            <w:r>
              <w:rPr>
                <w:lang w:val="en-US"/>
              </w:rPr>
              <w:t>16000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CE739C">
            <w:pPr>
              <w:ind w:firstLine="0"/>
            </w:pP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  <w:p w:rsidR="008C60AE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10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120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3000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8C60AE" w:rsidP="00E15A17">
            <w:pPr>
              <w:ind w:firstLine="0"/>
            </w:pPr>
            <w:r>
              <w:t>30</w:t>
            </w:r>
          </w:p>
          <w:p w:rsidR="008C60AE" w:rsidRPr="009250E0" w:rsidRDefault="008C60AE" w:rsidP="00E15A17">
            <w:pPr>
              <w:ind w:firstLine="0"/>
            </w:pPr>
            <w:r>
              <w:t>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40 000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  <w:r>
              <w:rPr>
                <w:lang w:val="en-US"/>
              </w:rPr>
              <w:t>48</w:t>
            </w:r>
            <w:r>
              <w:t> 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150 000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80 000</w:t>
            </w:r>
          </w:p>
          <w:p w:rsidR="008C60AE" w:rsidRDefault="008C60AE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  <w:p w:rsidR="008C60AE" w:rsidRPr="000865A6" w:rsidRDefault="008C60AE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32 000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8C60AE" w:rsidP="00A7257E">
            <w:pPr>
              <w:ind w:firstLine="0"/>
              <w:rPr>
                <w:lang w:val="en-US"/>
              </w:rPr>
            </w:pPr>
            <w:r>
              <w:t>500000</w:t>
            </w:r>
            <w:r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0865A6" w:rsidRDefault="00EF689D" w:rsidP="00EF689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</w:t>
            </w:r>
            <w:r w:rsidR="008C60AE">
              <w:rPr>
                <w:lang w:val="en-US"/>
              </w:rPr>
              <w:t>11</w:t>
            </w:r>
            <w:r>
              <w:t>.</w:t>
            </w:r>
            <w:r w:rsidR="008C60AE">
              <w:rPr>
                <w:lang w:val="en-US"/>
              </w:rPr>
              <w:t>2016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0865A6" w:rsidRDefault="008C60AE" w:rsidP="00EF689D">
            <w:pPr>
              <w:ind w:firstLine="0"/>
              <w:rPr>
                <w:lang w:val="en-US"/>
              </w:rPr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2017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>/н от 30.11.2016;</w:t>
      </w:r>
    </w:p>
    <w:p w:rsidR="00607601" w:rsidRDefault="00607601" w:rsidP="00607601">
      <w:pPr>
        <w:pStyle w:val="a5"/>
        <w:ind w:left="899" w:firstLine="0"/>
      </w:pPr>
      <w:r>
        <w:t>** Исх. № 5 от 30.11.2016;</w:t>
      </w:r>
    </w:p>
    <w:p w:rsidR="00607601" w:rsidRDefault="00607601" w:rsidP="00607601">
      <w:pPr>
        <w:pStyle w:val="a5"/>
        <w:ind w:left="899" w:firstLine="0"/>
      </w:pPr>
      <w:r>
        <w:t>*** Исх. № 2818 от 29.11.2016.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>
      <w:bookmarkStart w:id="0" w:name="_GoBack"/>
      <w:bookmarkEnd w:id="0"/>
    </w:p>
    <w:p w:rsidR="00607601" w:rsidRDefault="00607601"/>
    <w:p w:rsidR="00607601" w:rsidRDefault="00607601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D7F71"/>
    <w:rsid w:val="000E2959"/>
    <w:rsid w:val="00165919"/>
    <w:rsid w:val="0018702E"/>
    <w:rsid w:val="001D0A96"/>
    <w:rsid w:val="002449A2"/>
    <w:rsid w:val="00312852"/>
    <w:rsid w:val="00384688"/>
    <w:rsid w:val="003878C7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35</cp:revision>
  <cp:lastPrinted>2016-12-09T07:45:00Z</cp:lastPrinted>
  <dcterms:created xsi:type="dcterms:W3CDTF">2010-01-15T11:04:00Z</dcterms:created>
  <dcterms:modified xsi:type="dcterms:W3CDTF">2016-12-09T07:45:00Z</dcterms:modified>
</cp:coreProperties>
</file>