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62D60EEF" w14:textId="7F3221AE"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поставку </w:t>
      </w:r>
      <w:r w:rsidR="0028098E">
        <w:rPr>
          <w:rFonts w:ascii="PT Astra Serif" w:hAnsi="PT Astra Serif"/>
          <w:b/>
          <w:color w:val="000000"/>
          <w:sz w:val="28"/>
        </w:rPr>
        <w:t>канцелярских товаров</w:t>
      </w:r>
    </w:p>
    <w:p w14:paraId="4907CF93" w14:textId="4EB3EA4F"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 xml:space="preserve">(ИКЗ № </w:t>
      </w:r>
      <w:r w:rsidR="0028098E" w:rsidRPr="0028098E">
        <w:rPr>
          <w:rFonts w:ascii="PT Astra Serif" w:hAnsi="PT Astra Serif"/>
          <w:color w:val="000099"/>
          <w:sz w:val="28"/>
        </w:rPr>
        <w:t>213862200236886220100101430010000244</w:t>
      </w:r>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«___»__________202___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60E44B49" w14:textId="0D2AA4D6" w:rsidR="0018211E"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5529882E"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28098E">
        <w:rPr>
          <w:rFonts w:ascii="PT Astra Serif" w:hAnsi="PT Astra Serif"/>
          <w:bCs/>
          <w:color w:val="000099"/>
          <w:sz w:val="28"/>
          <w:szCs w:val="28"/>
        </w:rPr>
        <w:t>канцелярские товары</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 xml:space="preserve">а Заказчик обязуется </w:t>
      </w:r>
      <w:proofErr w:type="gramStart"/>
      <w:r w:rsidR="007A4D1E" w:rsidRPr="00D22DC4">
        <w:rPr>
          <w:rFonts w:ascii="PT Astra Serif" w:hAnsi="PT Astra Serif"/>
          <w:bCs/>
          <w:color w:val="000000"/>
          <w:sz w:val="28"/>
          <w:szCs w:val="28"/>
        </w:rPr>
        <w:t>принять и оплатить</w:t>
      </w:r>
      <w:proofErr w:type="gramEnd"/>
      <w:r w:rsidR="007A4D1E" w:rsidRPr="00D22DC4">
        <w:rPr>
          <w:rFonts w:ascii="PT Astra Serif" w:hAnsi="PT Astra Serif"/>
          <w:bCs/>
          <w:color w:val="000000"/>
          <w:sz w:val="28"/>
          <w:szCs w:val="28"/>
        </w:rPr>
        <w:t xml:space="preserve">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77777777" w:rsidR="007A4D1E"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2.4. Цена Контракта является твёрдой и определяется на весь срок исполнения Контракта, за исключением случаев, установленных Федеральным законом от </w:t>
      </w:r>
      <w:r w:rsidRPr="00D22DC4">
        <w:rPr>
          <w:rFonts w:ascii="PT Astra Serif" w:hAnsi="PT Astra Serif"/>
          <w:color w:val="auto"/>
          <w:sz w:val="28"/>
          <w:szCs w:val="28"/>
        </w:rPr>
        <w:lastRenderedPageBreak/>
        <w:t>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без </w:t>
      </w:r>
      <w:proofErr w:type="gramStart"/>
      <w:r w:rsidRPr="00D22DC4">
        <w:rPr>
          <w:rFonts w:ascii="PT Astra Serif" w:hAnsi="PT Astra Serif"/>
          <w:sz w:val="28"/>
          <w:szCs w:val="28"/>
        </w:rPr>
        <w:t>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2C2FAB28"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6969B9" w:rsidRPr="00D22DC4">
        <w:rPr>
          <w:rFonts w:ascii="PT Astra Serif" w:hAnsi="PT Astra Serif"/>
          <w:color w:val="000099"/>
          <w:sz w:val="28"/>
          <w:szCs w:val="28"/>
        </w:rPr>
        <w:t xml:space="preserve"> </w:t>
      </w:r>
      <w:r w:rsidR="0028098E" w:rsidRPr="0028098E">
        <w:rPr>
          <w:rFonts w:ascii="PT Astra Serif" w:hAnsi="PT Astra Serif"/>
          <w:color w:val="000099"/>
          <w:sz w:val="28"/>
          <w:szCs w:val="28"/>
        </w:rPr>
        <w:t>(в том числе субвенция на осуществление деятельности по опеке и попечительству).</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5697A251"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w:t>
      </w:r>
      <w:proofErr w:type="gramStart"/>
      <w:r w:rsidR="00C96D77" w:rsidRPr="00D22DC4">
        <w:rPr>
          <w:rFonts w:ascii="PT Astra Serif" w:hAnsi="PT Astra Serif"/>
          <w:sz w:val="28"/>
          <w:szCs w:val="28"/>
        </w:rPr>
        <w:t>с даты подписания</w:t>
      </w:r>
      <w:proofErr w:type="gramEnd"/>
      <w:r w:rsidR="00C96D77" w:rsidRPr="00D22DC4">
        <w:rPr>
          <w:rFonts w:ascii="PT Astra Serif" w:hAnsi="PT Astra Serif"/>
          <w:sz w:val="28"/>
          <w:szCs w:val="28"/>
        </w:rPr>
        <w:t xml:space="preserve"> Заказчиком </w:t>
      </w:r>
      <w:r w:rsidR="0028098E" w:rsidRPr="0028098E">
        <w:rPr>
          <w:rFonts w:ascii="PT Astra Serif" w:hAnsi="PT Astra Serif"/>
          <w:sz w:val="28"/>
          <w:szCs w:val="28"/>
        </w:rPr>
        <w:t>товарной накладной по унифицированной форме № ТОРГ-12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0748D4CA" w14:textId="6D133358" w:rsidR="000A48DB"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5E3B408A"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28098E" w:rsidRPr="0028098E">
        <w:rPr>
          <w:rFonts w:ascii="PT Astra Serif" w:hAnsi="PT Astra Serif"/>
          <w:color w:val="000099"/>
          <w:sz w:val="28"/>
          <w:szCs w:val="28"/>
        </w:rPr>
        <w:t>19.07.2021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1BD95E5" w14:textId="3700AAD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2</w:t>
      </w:r>
      <w:r w:rsidRPr="00D22DC4">
        <w:rPr>
          <w:rFonts w:ascii="PT Astra Serif" w:hAnsi="PT Astra Serif"/>
          <w:sz w:val="28"/>
          <w:szCs w:val="28"/>
        </w:rPr>
        <w:t xml:space="preserve">.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564D9931"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3</w:t>
      </w:r>
      <w:r w:rsidRPr="00D22DC4">
        <w:rPr>
          <w:rFonts w:ascii="PT Astra Serif" w:hAnsi="PT Astra Serif"/>
          <w:sz w:val="28"/>
          <w:szCs w:val="28"/>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2674FE4D"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4</w:t>
      </w:r>
      <w:r w:rsidRPr="00D22DC4">
        <w:rPr>
          <w:rFonts w:ascii="PT Astra Serif" w:hAnsi="PT Astra Serif"/>
          <w:sz w:val="28"/>
          <w:szCs w:val="28"/>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w:t>
      </w:r>
      <w:r w:rsidRPr="00D22DC4">
        <w:rPr>
          <w:rFonts w:ascii="PT Astra Serif" w:hAnsi="PT Astra Serif"/>
          <w:sz w:val="28"/>
          <w:szCs w:val="28"/>
        </w:rPr>
        <w:lastRenderedPageBreak/>
        <w:t>контрактной системе в сфере закупок товаров, работ, услуг для обеспечения государственных и муниципальных нужд».</w:t>
      </w:r>
    </w:p>
    <w:p w14:paraId="5464D375" w14:textId="22B9FDA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5</w:t>
      </w:r>
      <w:r w:rsidRPr="00D22DC4">
        <w:rPr>
          <w:rFonts w:ascii="PT Astra Serif" w:hAnsi="PT Astra Serif"/>
          <w:sz w:val="28"/>
          <w:szCs w:val="28"/>
        </w:rPr>
        <w:t xml:space="preserve">.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28098E">
        <w:rPr>
          <w:rFonts w:ascii="PT Astra Serif" w:hAnsi="PT Astra Serif"/>
          <w:sz w:val="28"/>
          <w:szCs w:val="28"/>
        </w:rPr>
        <w:t xml:space="preserve"> и </w:t>
      </w:r>
      <w:r w:rsidR="0028098E" w:rsidRPr="0028098E">
        <w:rPr>
          <w:rFonts w:ascii="PT Astra Serif" w:hAnsi="PT Astra Serif"/>
          <w:sz w:val="28"/>
          <w:szCs w:val="28"/>
        </w:rPr>
        <w:t>и/или универсального передаточного документа (УПД)</w:t>
      </w:r>
      <w:r w:rsidRPr="00D22DC4">
        <w:rPr>
          <w:rFonts w:ascii="PT Astra Serif" w:hAnsi="PT Astra Serif"/>
          <w:sz w:val="28"/>
          <w:szCs w:val="28"/>
        </w:rPr>
        <w:t>. После этого Товар считается переданным Поставщиком Заказчику.</w:t>
      </w:r>
    </w:p>
    <w:p w14:paraId="3B10FFF1" w14:textId="6C9A616A"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6</w:t>
      </w:r>
      <w:r w:rsidRPr="00D22DC4">
        <w:rPr>
          <w:rFonts w:ascii="PT Astra Serif" w:hAnsi="PT Astra Serif"/>
          <w:sz w:val="28"/>
          <w:szCs w:val="28"/>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5B5322E1"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7</w:t>
      </w:r>
      <w:r w:rsidRPr="00D22DC4">
        <w:rPr>
          <w:rFonts w:ascii="PT Astra Serif" w:hAnsi="PT Astra Serif"/>
          <w:sz w:val="28"/>
          <w:szCs w:val="28"/>
        </w:rPr>
        <w:t xml:space="preserve">.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5BBBE758"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8</w:t>
      </w:r>
      <w:r w:rsidRPr="00D22DC4">
        <w:rPr>
          <w:rFonts w:ascii="PT Astra Serif" w:hAnsi="PT Astra Serif"/>
          <w:sz w:val="28"/>
          <w:szCs w:val="28"/>
        </w:rPr>
        <w:t xml:space="preserve">.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6B57EBDE"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9</w:t>
      </w:r>
      <w:r w:rsidRPr="00D22DC4">
        <w:rPr>
          <w:rFonts w:ascii="PT Astra Serif" w:hAnsi="PT Astra Serif"/>
          <w:sz w:val="28"/>
          <w:szCs w:val="28"/>
        </w:rPr>
        <w:t xml:space="preserve">.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5006CA9C" w14:textId="1E8D2FFD" w:rsidR="0018211E"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Pr="00D22DC4" w:rsidRDefault="00A4295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lastRenderedPageBreak/>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0" w:name="P1518"/>
      <w:bookmarkEnd w:id="0"/>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D22DC4" w:rsidRDefault="003E048D" w:rsidP="003E048D">
      <w:pPr>
        <w:pStyle w:val="afa"/>
        <w:spacing w:line="240" w:lineRule="auto"/>
        <w:ind w:firstLine="709"/>
        <w:jc w:val="both"/>
        <w:rPr>
          <w:rFonts w:ascii="PT Astra Serif" w:hAnsi="PT Astra Serif"/>
          <w:sz w:val="28"/>
          <w:szCs w:val="28"/>
        </w:rPr>
      </w:pPr>
      <w:bookmarkStart w:id="1" w:name="P1519"/>
      <w:bookmarkEnd w:id="1"/>
      <w:r w:rsidRPr="00D22DC4">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14:paraId="4F7D9F33" w14:textId="5D19E9C3"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lastRenderedPageBreak/>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FF0DFB2"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3624BC4"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2" w:name="P1554"/>
      <w:bookmarkEnd w:id="2"/>
      <w:r w:rsidRPr="00D22DC4">
        <w:rPr>
          <w:rFonts w:ascii="PT Astra Serif" w:hAnsi="PT Astra Serif"/>
          <w:sz w:val="28"/>
          <w:szCs w:val="28"/>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Pr="00D22DC4">
        <w:rPr>
          <w:rFonts w:ascii="PT Astra Serif" w:hAnsi="PT Astra Serif"/>
          <w:sz w:val="28"/>
          <w:szCs w:val="28"/>
        </w:rPr>
        <w:lastRenderedPageBreak/>
        <w:t>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5D3EAE9"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w:t>
      </w:r>
      <w:proofErr w:type="gramStart"/>
      <w:r w:rsidRPr="00D22DC4">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4F3194">
        <w:rPr>
          <w:rFonts w:ascii="PT Astra Serif" w:hAnsi="PT Astra Serif" w:cs="Times New Roman"/>
          <w:sz w:val="28"/>
          <w:szCs w:val="28"/>
        </w:rPr>
        <w:t>1</w:t>
      </w:r>
      <w:r w:rsidRPr="00D22DC4">
        <w:rPr>
          <w:rFonts w:ascii="PT Astra Serif" w:hAnsi="PT Astra Serif" w:cs="Times New Roman"/>
          <w:sz w:val="28"/>
          <w:szCs w:val="28"/>
        </w:rPr>
        <w:t xml:space="preserve">% </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 xml:space="preserve"> цены </w:t>
      </w:r>
      <w:r w:rsidR="004F3194">
        <w:rPr>
          <w:rFonts w:ascii="PT Astra Serif" w:hAnsi="PT Astra Serif"/>
          <w:sz w:val="28"/>
          <w:szCs w:val="28"/>
        </w:rPr>
        <w:t>Контракта (этапа), но не более 5 тыс. рублей и не менее</w:t>
      </w:r>
      <w:proofErr w:type="gramEnd"/>
      <w:r w:rsidR="004F3194">
        <w:rPr>
          <w:rFonts w:ascii="PT Astra Serif" w:hAnsi="PT Astra Serif"/>
          <w:sz w:val="28"/>
          <w:szCs w:val="28"/>
        </w:rPr>
        <w:t xml:space="preserve"> 1 тыс. рублей. </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3" w:name="P1556"/>
      <w:bookmarkEnd w:id="3"/>
      <w:r w:rsidRPr="00D22DC4">
        <w:rPr>
          <w:rFonts w:ascii="PT Astra Serif" w:hAnsi="PT Astra Serif"/>
          <w:sz w:val="28"/>
          <w:szCs w:val="28"/>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2469216A" w:rsidR="0018211E"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 xml:space="preserve">Федеральным законом от 05.04.2013 № 44-ФЗ «О </w:t>
      </w:r>
      <w:r w:rsidR="00EE43AA" w:rsidRPr="00D22DC4">
        <w:rPr>
          <w:rFonts w:ascii="PT Astra Serif" w:hAnsi="PT Astra Serif"/>
          <w:color w:val="auto"/>
          <w:sz w:val="28"/>
          <w:szCs w:val="28"/>
        </w:rPr>
        <w:lastRenderedPageBreak/>
        <w:t>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w:t>
      </w:r>
      <w:r w:rsidRPr="00D22DC4">
        <w:rPr>
          <w:rFonts w:ascii="PT Astra Serif" w:hAnsi="PT Astra Serif"/>
          <w:sz w:val="28"/>
          <w:szCs w:val="28"/>
        </w:rPr>
        <w:lastRenderedPageBreak/>
        <w:t>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D22DC4">
        <w:rPr>
          <w:rFonts w:ascii="PT Astra Serif" w:hAnsi="PT Astra Serif"/>
          <w:sz w:val="28"/>
          <w:szCs w:val="28"/>
        </w:rPr>
        <w:lastRenderedPageBreak/>
        <w:t>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5BE3133D" w:rsidR="0018211E" w:rsidRPr="00D22DC4" w:rsidRDefault="00486A02" w:rsidP="005820D7">
      <w:pPr>
        <w:pStyle w:val="13"/>
        <w:spacing w:after="0" w:line="240" w:lineRule="auto"/>
        <w:ind w:firstLine="709"/>
        <w:jc w:val="center"/>
        <w:rPr>
          <w:rFonts w:ascii="PT Astra Serif" w:hAnsi="PT Astra Serif"/>
          <w:b/>
          <w:color w:val="auto"/>
          <w:sz w:val="28"/>
          <w:szCs w:val="28"/>
        </w:rPr>
      </w:pPr>
      <w:r>
        <w:rPr>
          <w:rFonts w:ascii="PT Astra Serif" w:hAnsi="PT Astra Serif"/>
          <w:b/>
          <w:color w:val="auto"/>
          <w:sz w:val="28"/>
          <w:szCs w:val="28"/>
        </w:rPr>
        <w:t>8</w:t>
      </w:r>
      <w:r w:rsidR="0018211E" w:rsidRPr="00D22DC4">
        <w:rPr>
          <w:rFonts w:ascii="PT Astra Serif" w:hAnsi="PT Astra Serif"/>
          <w:b/>
          <w:color w:val="auto"/>
          <w:sz w:val="28"/>
          <w:szCs w:val="28"/>
        </w:rPr>
        <w:t xml:space="preserve">. </w:t>
      </w:r>
      <w:r w:rsidR="008748E5" w:rsidRPr="00D22DC4">
        <w:rPr>
          <w:rFonts w:ascii="PT Astra Serif" w:hAnsi="PT Astra Serif"/>
          <w:b/>
          <w:color w:val="auto"/>
          <w:sz w:val="28"/>
          <w:szCs w:val="28"/>
        </w:rPr>
        <w:t>Исключительные права</w:t>
      </w:r>
    </w:p>
    <w:p w14:paraId="6740E91A" w14:textId="2E0357AE" w:rsidR="008748E5" w:rsidRPr="00D22DC4" w:rsidRDefault="00486A02" w:rsidP="008748E5">
      <w:pPr>
        <w:pStyle w:val="13"/>
        <w:spacing w:after="0" w:line="240" w:lineRule="auto"/>
        <w:ind w:firstLine="709"/>
        <w:jc w:val="both"/>
        <w:rPr>
          <w:rFonts w:ascii="PT Astra Serif" w:hAnsi="PT Astra Serif"/>
          <w:color w:val="auto"/>
          <w:sz w:val="28"/>
          <w:szCs w:val="28"/>
        </w:rPr>
      </w:pPr>
      <w:r>
        <w:rPr>
          <w:rFonts w:ascii="PT Astra Serif" w:hAnsi="PT Astra Serif"/>
          <w:color w:val="auto"/>
          <w:sz w:val="28"/>
          <w:szCs w:val="28"/>
        </w:rPr>
        <w:t>8</w:t>
      </w:r>
      <w:r w:rsidR="008748E5" w:rsidRPr="00D22DC4">
        <w:rPr>
          <w:rFonts w:ascii="PT Astra Serif" w:hAnsi="PT Astra Serif"/>
          <w:color w:val="auto"/>
          <w:sz w:val="28"/>
          <w:szCs w:val="28"/>
        </w:rPr>
        <w:t>.1. Поставщик гарантирует отсутствие нарушения исключительных прав третьих лиц, связанных с поставкой и использованием Товара.</w:t>
      </w:r>
    </w:p>
    <w:p w14:paraId="70AD2A01" w14:textId="3F6955D6" w:rsidR="0018211E" w:rsidRPr="00D22DC4" w:rsidRDefault="00486A02" w:rsidP="008748E5">
      <w:pPr>
        <w:pStyle w:val="13"/>
        <w:spacing w:after="0" w:line="240" w:lineRule="auto"/>
        <w:ind w:firstLine="709"/>
        <w:jc w:val="both"/>
        <w:rPr>
          <w:rFonts w:ascii="PT Astra Serif" w:hAnsi="PT Astra Serif"/>
          <w:color w:val="auto"/>
          <w:sz w:val="28"/>
          <w:szCs w:val="28"/>
        </w:rPr>
      </w:pPr>
      <w:r>
        <w:rPr>
          <w:rFonts w:ascii="PT Astra Serif" w:hAnsi="PT Astra Serif"/>
          <w:color w:val="auto"/>
          <w:sz w:val="28"/>
          <w:szCs w:val="28"/>
        </w:rPr>
        <w:t>8</w:t>
      </w:r>
      <w:r w:rsidR="008748E5" w:rsidRPr="00D22DC4">
        <w:rPr>
          <w:rFonts w:ascii="PT Astra Serif" w:hAnsi="PT Astra Serif"/>
          <w:color w:val="auto"/>
          <w:sz w:val="28"/>
          <w:szCs w:val="28"/>
        </w:rPr>
        <w:t>.2.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1CD12D0E" w:rsidR="0018211E" w:rsidRPr="00D22DC4" w:rsidRDefault="00486A02" w:rsidP="005820D7">
      <w:pPr>
        <w:pStyle w:val="13"/>
        <w:spacing w:after="0" w:line="240" w:lineRule="auto"/>
        <w:ind w:firstLine="709"/>
        <w:jc w:val="center"/>
        <w:rPr>
          <w:rFonts w:ascii="PT Astra Serif" w:hAnsi="PT Astra Serif"/>
          <w:b/>
          <w:color w:val="auto"/>
          <w:sz w:val="28"/>
          <w:szCs w:val="28"/>
        </w:rPr>
      </w:pPr>
      <w:r>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008748E5"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008748E5" w:rsidRPr="00D22DC4">
        <w:rPr>
          <w:rFonts w:ascii="PT Astra Serif" w:hAnsi="PT Astra Serif"/>
          <w:b/>
          <w:color w:val="auto"/>
          <w:sz w:val="28"/>
          <w:szCs w:val="28"/>
        </w:rPr>
        <w:t xml:space="preserve"> непреодолимой силы</w:t>
      </w:r>
    </w:p>
    <w:p w14:paraId="709B0020" w14:textId="452B60DF" w:rsidR="008748E5" w:rsidRPr="00D22DC4" w:rsidRDefault="00486A02" w:rsidP="008748E5">
      <w:pPr>
        <w:pStyle w:val="afa"/>
        <w:spacing w:line="240" w:lineRule="auto"/>
        <w:ind w:firstLine="709"/>
        <w:jc w:val="both"/>
        <w:rPr>
          <w:rFonts w:ascii="PT Astra Serif" w:hAnsi="PT Astra Serif"/>
          <w:color w:val="auto"/>
          <w:sz w:val="28"/>
          <w:szCs w:val="28"/>
        </w:rPr>
      </w:pPr>
      <w:r>
        <w:rPr>
          <w:rFonts w:ascii="PT Astra Serif" w:hAnsi="PT Astra Serif"/>
          <w:color w:val="auto"/>
          <w:sz w:val="28"/>
          <w:szCs w:val="28"/>
        </w:rPr>
        <w:t>9</w:t>
      </w:r>
      <w:r w:rsidR="008748E5" w:rsidRPr="00D22DC4">
        <w:rPr>
          <w:rFonts w:ascii="PT Astra Serif" w:hAnsi="PT Astra Serif"/>
          <w:color w:val="auto"/>
          <w:sz w:val="28"/>
          <w:szCs w:val="28"/>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4BD20A16" w:rsidR="008748E5" w:rsidRPr="00D22DC4" w:rsidRDefault="00486A02" w:rsidP="008748E5">
      <w:pPr>
        <w:pStyle w:val="afa"/>
        <w:spacing w:line="240" w:lineRule="auto"/>
        <w:ind w:firstLine="709"/>
        <w:jc w:val="both"/>
        <w:rPr>
          <w:rFonts w:ascii="PT Astra Serif" w:hAnsi="PT Astra Serif"/>
          <w:color w:val="auto"/>
          <w:sz w:val="28"/>
          <w:szCs w:val="28"/>
        </w:rPr>
      </w:pPr>
      <w:r>
        <w:rPr>
          <w:rFonts w:ascii="PT Astra Serif" w:hAnsi="PT Astra Serif"/>
          <w:color w:val="auto"/>
          <w:sz w:val="28"/>
          <w:szCs w:val="28"/>
        </w:rPr>
        <w:t>9</w:t>
      </w:r>
      <w:r w:rsidR="008748E5" w:rsidRPr="00D22DC4">
        <w:rPr>
          <w:rFonts w:ascii="PT Astra Serif" w:hAnsi="PT Astra Serif"/>
          <w:color w:val="auto"/>
          <w:sz w:val="28"/>
          <w:szCs w:val="28"/>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64752C51" w:rsidR="008748E5" w:rsidRPr="00D22DC4" w:rsidRDefault="00486A02" w:rsidP="008748E5">
      <w:pPr>
        <w:pStyle w:val="afa"/>
        <w:spacing w:line="240" w:lineRule="auto"/>
        <w:ind w:firstLine="709"/>
        <w:jc w:val="both"/>
        <w:rPr>
          <w:rFonts w:ascii="PT Astra Serif" w:hAnsi="PT Astra Serif"/>
          <w:color w:val="auto"/>
          <w:sz w:val="28"/>
          <w:szCs w:val="28"/>
        </w:rPr>
      </w:pPr>
      <w:r>
        <w:rPr>
          <w:rFonts w:ascii="PT Astra Serif" w:hAnsi="PT Astra Serif"/>
          <w:color w:val="auto"/>
          <w:sz w:val="28"/>
          <w:szCs w:val="28"/>
        </w:rPr>
        <w:t>9</w:t>
      </w:r>
      <w:r w:rsidR="008748E5" w:rsidRPr="00D22DC4">
        <w:rPr>
          <w:rFonts w:ascii="PT Astra Serif" w:hAnsi="PT Astra Serif"/>
          <w:color w:val="auto"/>
          <w:sz w:val="28"/>
          <w:szCs w:val="28"/>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61453411" w:rsidR="008748E5" w:rsidRPr="00D22DC4" w:rsidRDefault="00486A02" w:rsidP="008748E5">
      <w:pPr>
        <w:pStyle w:val="afa"/>
        <w:spacing w:line="240" w:lineRule="auto"/>
        <w:ind w:firstLine="709"/>
        <w:jc w:val="both"/>
        <w:rPr>
          <w:rFonts w:ascii="PT Astra Serif" w:hAnsi="PT Astra Serif"/>
          <w:color w:val="auto"/>
          <w:sz w:val="28"/>
          <w:szCs w:val="28"/>
        </w:rPr>
      </w:pPr>
      <w:r>
        <w:rPr>
          <w:rFonts w:ascii="PT Astra Serif" w:hAnsi="PT Astra Serif"/>
          <w:color w:val="auto"/>
          <w:sz w:val="28"/>
          <w:szCs w:val="28"/>
        </w:rPr>
        <w:t>9</w:t>
      </w:r>
      <w:r w:rsidR="008748E5" w:rsidRPr="00D22DC4">
        <w:rPr>
          <w:rFonts w:ascii="PT Astra Serif" w:hAnsi="PT Astra Serif"/>
          <w:color w:val="auto"/>
          <w:sz w:val="28"/>
          <w:szCs w:val="28"/>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7F54A127" w:rsidR="008748E5" w:rsidRPr="00D22DC4"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486A02">
        <w:rPr>
          <w:rFonts w:ascii="PT Astra Serif" w:hAnsi="PT Astra Serif"/>
          <w:b/>
          <w:color w:val="auto"/>
          <w:sz w:val="28"/>
          <w:szCs w:val="28"/>
        </w:rPr>
        <w:t>0</w:t>
      </w:r>
      <w:r w:rsidRPr="00D22DC4">
        <w:rPr>
          <w:rFonts w:ascii="PT Astra Serif" w:hAnsi="PT Astra Serif"/>
          <w:b/>
          <w:color w:val="auto"/>
          <w:sz w:val="28"/>
          <w:szCs w:val="28"/>
        </w:rPr>
        <w:t>. Рассмотрение и разрешение споров</w:t>
      </w:r>
    </w:p>
    <w:p w14:paraId="571ECE45" w14:textId="4D3F52B1"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w:t>
      </w:r>
      <w:r w:rsidR="00486A02">
        <w:rPr>
          <w:rFonts w:ascii="PT Astra Serif" w:hAnsi="PT Astra Serif"/>
          <w:color w:val="auto"/>
          <w:sz w:val="28"/>
          <w:szCs w:val="28"/>
        </w:rPr>
        <w:t>0</w:t>
      </w:r>
      <w:r w:rsidRPr="00D22DC4">
        <w:rPr>
          <w:rFonts w:ascii="PT Astra Serif" w:hAnsi="PT Astra Serif"/>
          <w:color w:val="auto"/>
          <w:sz w:val="28"/>
          <w:szCs w:val="28"/>
        </w:rPr>
        <w:t>.1.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85C90A8"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w:t>
      </w:r>
      <w:r w:rsidR="00486A02">
        <w:rPr>
          <w:rFonts w:ascii="PT Astra Serif" w:hAnsi="PT Astra Serif"/>
          <w:color w:val="auto"/>
          <w:sz w:val="28"/>
          <w:szCs w:val="28"/>
        </w:rPr>
        <w:t>0</w:t>
      </w:r>
      <w:r w:rsidRPr="00D22DC4">
        <w:rPr>
          <w:rFonts w:ascii="PT Astra Serif" w:hAnsi="PT Astra Serif"/>
          <w:color w:val="auto"/>
          <w:sz w:val="28"/>
          <w:szCs w:val="28"/>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7D34D29"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1</w:t>
      </w:r>
      <w:r w:rsidR="00486A02">
        <w:rPr>
          <w:rFonts w:ascii="PT Astra Serif" w:hAnsi="PT Astra Serif"/>
          <w:color w:val="auto"/>
          <w:sz w:val="28"/>
          <w:szCs w:val="28"/>
        </w:rPr>
        <w:t>0</w:t>
      </w:r>
      <w:r w:rsidRPr="00D22DC4">
        <w:rPr>
          <w:rFonts w:ascii="PT Astra Serif" w:hAnsi="PT Astra Serif"/>
          <w:color w:val="auto"/>
          <w:sz w:val="28"/>
          <w:szCs w:val="28"/>
        </w:rPr>
        <w:t xml:space="preserve">.3.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2B866D5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w:t>
      </w:r>
      <w:r w:rsidR="00486A02">
        <w:rPr>
          <w:rFonts w:ascii="PT Astra Serif" w:hAnsi="PT Astra Serif"/>
          <w:color w:val="auto"/>
          <w:sz w:val="28"/>
          <w:szCs w:val="28"/>
        </w:rPr>
        <w:t>0</w:t>
      </w:r>
      <w:r w:rsidRPr="00D22DC4">
        <w:rPr>
          <w:rFonts w:ascii="PT Astra Serif" w:hAnsi="PT Astra Serif"/>
          <w:color w:val="auto"/>
          <w:sz w:val="28"/>
          <w:szCs w:val="28"/>
        </w:rPr>
        <w:t>.4.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9D42485" w:rsidR="00CD7B27" w:rsidRPr="00D22DC4"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486A02">
        <w:rPr>
          <w:rFonts w:ascii="PT Astra Serif" w:hAnsi="PT Astra Serif"/>
          <w:b/>
          <w:sz w:val="28"/>
          <w:szCs w:val="28"/>
        </w:rPr>
        <w:t>1</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4EB8A4A7" w14:textId="7A60A5A0"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486A02">
        <w:rPr>
          <w:rFonts w:ascii="PT Astra Serif" w:hAnsi="PT Astra Serif"/>
          <w:sz w:val="28"/>
          <w:szCs w:val="28"/>
        </w:rPr>
        <w:t>1</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Контра</w:t>
      </w:r>
      <w:proofErr w:type="gramStart"/>
      <w:r w:rsidR="00796FD7" w:rsidRPr="00D22DC4">
        <w:rPr>
          <w:rFonts w:ascii="PT Astra Serif" w:hAnsi="PT Astra Serif"/>
          <w:sz w:val="28"/>
          <w:szCs w:val="28"/>
        </w:rPr>
        <w:t>кт вст</w:t>
      </w:r>
      <w:proofErr w:type="gramEnd"/>
      <w:r w:rsidR="00796FD7" w:rsidRPr="00D22DC4">
        <w:rPr>
          <w:rFonts w:ascii="PT Astra Serif" w:hAnsi="PT Astra Serif"/>
          <w:sz w:val="28"/>
          <w:szCs w:val="28"/>
        </w:rPr>
        <w:t xml:space="preserve">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E25557">
        <w:rPr>
          <w:rFonts w:ascii="PT Astra Serif" w:hAnsi="PT Astra Serif"/>
          <w:color w:val="000099"/>
          <w:sz w:val="28"/>
          <w:szCs w:val="28"/>
        </w:rPr>
        <w:t>1</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0</w:t>
      </w:r>
      <w:r w:rsidR="00E25557">
        <w:rPr>
          <w:rFonts w:ascii="PT Astra Serif" w:hAnsi="PT Astra Serif"/>
          <w:color w:val="000099"/>
          <w:sz w:val="28"/>
          <w:szCs w:val="28"/>
        </w:rPr>
        <w:t>8</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w:t>
      </w:r>
      <w:r w:rsidR="00486A02">
        <w:rPr>
          <w:rFonts w:ascii="PT Astra Serif" w:hAnsi="PT Astra Serif"/>
          <w:sz w:val="28"/>
          <w:szCs w:val="28"/>
        </w:rPr>
        <w:t>бязатель</w:t>
      </w:r>
      <w:proofErr w:type="gramStart"/>
      <w:r w:rsidR="00486A02">
        <w:rPr>
          <w:rFonts w:ascii="PT Astra Serif" w:hAnsi="PT Astra Serif"/>
          <w:sz w:val="28"/>
          <w:szCs w:val="28"/>
        </w:rPr>
        <w:t>ств Ст</w:t>
      </w:r>
      <w:proofErr w:type="gramEnd"/>
      <w:r w:rsidR="00486A02">
        <w:rPr>
          <w:rFonts w:ascii="PT Astra Serif" w:hAnsi="PT Astra Serif"/>
          <w:sz w:val="28"/>
          <w:szCs w:val="28"/>
        </w:rPr>
        <w:t>орон по Контракту.</w:t>
      </w:r>
      <w:r w:rsidR="00796FD7" w:rsidRPr="00D22DC4">
        <w:rPr>
          <w:rFonts w:ascii="PT Astra Serif" w:hAnsi="PT Astra Serif"/>
          <w:sz w:val="28"/>
          <w:szCs w:val="28"/>
        </w:rPr>
        <w:t xml:space="preserve"> </w:t>
      </w:r>
    </w:p>
    <w:p w14:paraId="45E93B98" w14:textId="7EE6AC3A"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1</w:t>
      </w:r>
      <w:r w:rsidR="00486A02">
        <w:rPr>
          <w:rFonts w:ascii="PT Astra Serif" w:hAnsi="PT Astra Serif"/>
          <w:sz w:val="28"/>
          <w:szCs w:val="28"/>
        </w:rPr>
        <w:t>1</w:t>
      </w:r>
      <w:r w:rsidRPr="00D22DC4">
        <w:rPr>
          <w:rFonts w:ascii="PT Astra Serif" w:hAnsi="PT Astra Serif"/>
          <w:sz w:val="28"/>
          <w:szCs w:val="28"/>
        </w:rPr>
        <w:t xml:space="preserve">.2.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6F5D3C7B" w:rsidR="00CD7B27" w:rsidRPr="00D22DC4"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486A02">
        <w:rPr>
          <w:rFonts w:ascii="PT Astra Serif" w:hAnsi="PT Astra Serif"/>
          <w:b/>
          <w:sz w:val="28"/>
          <w:szCs w:val="28"/>
        </w:rPr>
        <w:t>2</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607C921E" w14:textId="27010426"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09A97821"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4D64709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4CA637FE"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7BCF7F8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0C9868A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7BCFB4B8"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568850B2"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lastRenderedPageBreak/>
        <w:t>1</w:t>
      </w:r>
      <w:r w:rsidR="00486A02">
        <w:rPr>
          <w:rFonts w:ascii="PT Astra Serif" w:hAnsi="PT Astra Serif"/>
          <w:b/>
          <w:sz w:val="28"/>
          <w:szCs w:val="28"/>
        </w:rPr>
        <w:t>3</w:t>
      </w:r>
      <w:r w:rsidRPr="00D22DC4">
        <w:rPr>
          <w:rFonts w:ascii="PT Astra Serif" w:hAnsi="PT Astra Serif"/>
          <w:b/>
          <w:sz w:val="28"/>
          <w:szCs w:val="28"/>
        </w:rPr>
        <w:t>. Перечень приложений</w:t>
      </w:r>
    </w:p>
    <w:p w14:paraId="4B0B9120" w14:textId="1E2E19BB"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3</w:t>
      </w:r>
      <w:r w:rsidRPr="00D22DC4">
        <w:rPr>
          <w:rFonts w:ascii="PT Astra Serif" w:hAnsi="PT Astra Serif" w:cs="Times New Roman"/>
          <w:sz w:val="28"/>
          <w:szCs w:val="28"/>
        </w:rPr>
        <w:t>.1.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87FA73C"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486A02">
        <w:rPr>
          <w:rFonts w:ascii="PT Astra Serif" w:hAnsi="PT Astra Serif"/>
          <w:b/>
          <w:sz w:val="28"/>
          <w:szCs w:val="28"/>
        </w:rPr>
        <w:t>4</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4AB6BB6E"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Юридический адрес:</w:t>
            </w:r>
          </w:p>
          <w:p w14:paraId="5F414912"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628260, Тюменская область, Ханты-Мансийский автономный округ – Югра, г. Югорск, ул. 40 лет Победы, д. 11</w:t>
            </w:r>
          </w:p>
          <w:p w14:paraId="669D16C5"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ИНН/КПП 8622002368/862201001</w:t>
            </w:r>
          </w:p>
          <w:p w14:paraId="337F7E9A"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Банковские реквизиты:</w:t>
            </w:r>
          </w:p>
          <w:p w14:paraId="3D28972A" w14:textId="77777777" w:rsidR="00E25557" w:rsidRPr="00E25557" w:rsidRDefault="00E25557" w:rsidP="00E25557">
            <w:pPr>
              <w:widowControl w:val="0"/>
              <w:spacing w:after="0"/>
              <w:rPr>
                <w:rFonts w:ascii="PT Astra Serif" w:hAnsi="PT Astra Serif"/>
                <w:color w:val="00000A"/>
              </w:rPr>
            </w:pPr>
            <w:proofErr w:type="spellStart"/>
            <w:r w:rsidRPr="00E25557">
              <w:rPr>
                <w:rFonts w:ascii="PT Astra Serif" w:hAnsi="PT Astra Serif"/>
                <w:color w:val="00000A"/>
              </w:rPr>
              <w:t>Депфин</w:t>
            </w:r>
            <w:proofErr w:type="spellEnd"/>
            <w:r w:rsidRPr="00E25557">
              <w:rPr>
                <w:rFonts w:ascii="PT Astra Serif" w:hAnsi="PT Astra Serif"/>
                <w:color w:val="00000A"/>
              </w:rPr>
              <w:t xml:space="preserve"> Югорск (Администрация города </w:t>
            </w:r>
            <w:proofErr w:type="spellStart"/>
            <w:r w:rsidRPr="00E25557">
              <w:rPr>
                <w:rFonts w:ascii="PT Astra Serif" w:hAnsi="PT Astra Serif"/>
                <w:color w:val="00000A"/>
              </w:rPr>
              <w:t>Югорска</w:t>
            </w:r>
            <w:proofErr w:type="spellEnd"/>
            <w:r w:rsidRPr="00E25557">
              <w:rPr>
                <w:rFonts w:ascii="PT Astra Serif" w:hAnsi="PT Astra Serif"/>
                <w:color w:val="00000A"/>
              </w:rPr>
              <w:t>)</w:t>
            </w:r>
          </w:p>
          <w:p w14:paraId="593BE918"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Номер счета получателя (№ казначейского счета): 03231643718870008700</w:t>
            </w:r>
          </w:p>
          <w:p w14:paraId="6A6A1874"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ИНН 8622002368 / КПП 862201001</w:t>
            </w:r>
          </w:p>
          <w:p w14:paraId="03391913"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 xml:space="preserve">РКЦ Ханты-Мансийск // УФК по Ханты-Мансийскому автономному округу – Югре г. Ханты-Мансийск </w:t>
            </w:r>
          </w:p>
          <w:p w14:paraId="408395D7"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БИК 007162163</w:t>
            </w:r>
          </w:p>
          <w:p w14:paraId="13182BD5"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Номер счета банка получателя (ЕКС): 401 028 102 453 700 000 07</w:t>
            </w:r>
          </w:p>
          <w:p w14:paraId="215642E1"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ОГРН 1028601843720</w:t>
            </w:r>
          </w:p>
          <w:p w14:paraId="05506392"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ОКВЭД 84.11.3</w:t>
            </w:r>
          </w:p>
          <w:p w14:paraId="7808837F"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 xml:space="preserve">ОКПО 04262843 </w:t>
            </w:r>
          </w:p>
          <w:p w14:paraId="79A98676"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ОКФС 14 / ОКОПФ 75404</w:t>
            </w:r>
          </w:p>
          <w:p w14:paraId="77984949"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ОКТМО 71887000</w:t>
            </w:r>
          </w:p>
          <w:p w14:paraId="28406F6E"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ОКОГУ 3300200</w:t>
            </w:r>
          </w:p>
          <w:p w14:paraId="4AFF96D1"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тел. 5-00-00, 5-00-01, факс 5-00-03</w:t>
            </w:r>
          </w:p>
          <w:p w14:paraId="4A49B12F"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Электронная почта: adm@ygorsk.ru</w:t>
            </w:r>
          </w:p>
          <w:p w14:paraId="081F2913" w14:textId="77777777" w:rsidR="00E25557" w:rsidRPr="00E25557" w:rsidRDefault="00E25557" w:rsidP="00E25557">
            <w:pPr>
              <w:widowControl w:val="0"/>
              <w:spacing w:after="0"/>
              <w:rPr>
                <w:rFonts w:ascii="PT Astra Serif" w:hAnsi="PT Astra Serif"/>
                <w:color w:val="00000A"/>
              </w:rPr>
            </w:pPr>
          </w:p>
          <w:p w14:paraId="2E777EF1"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_________________/___________/</w:t>
            </w:r>
          </w:p>
          <w:p w14:paraId="394DB081"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«___» ______ 20__ г.</w:t>
            </w:r>
          </w:p>
          <w:p w14:paraId="73C4AFB4" w14:textId="74790D3E" w:rsidR="00AB418B" w:rsidRPr="00D1206A" w:rsidRDefault="00E25557" w:rsidP="00E25557">
            <w:pPr>
              <w:autoSpaceDE w:val="0"/>
              <w:autoSpaceDN w:val="0"/>
              <w:adjustRightInd w:val="0"/>
              <w:spacing w:after="0"/>
              <w:rPr>
                <w:rFonts w:ascii="PT Astra Serif" w:hAnsi="PT Astra Serif"/>
              </w:rPr>
            </w:pPr>
            <w:r w:rsidRPr="00E25557">
              <w:rPr>
                <w:rFonts w:ascii="PT Astra Serif" w:hAnsi="PT Astra Serif"/>
                <w:color w:val="00000A"/>
              </w:rPr>
              <w:t>М.П.</w:t>
            </w:r>
          </w:p>
        </w:tc>
        <w:tc>
          <w:tcPr>
            <w:tcW w:w="4733"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62FDEF32" w14:textId="77777777" w:rsidR="00E25557" w:rsidRDefault="00E25557" w:rsidP="00931474">
            <w:pPr>
              <w:autoSpaceDE w:val="0"/>
              <w:autoSpaceDN w:val="0"/>
              <w:adjustRightInd w:val="0"/>
              <w:spacing w:after="0"/>
              <w:rPr>
                <w:rFonts w:ascii="PT Astra Serif" w:hAnsi="PT Astra Serif"/>
              </w:rPr>
            </w:pPr>
          </w:p>
          <w:p w14:paraId="42CE2BC1" w14:textId="77777777" w:rsidR="00E25557" w:rsidRDefault="00E25557" w:rsidP="00931474">
            <w:pPr>
              <w:autoSpaceDE w:val="0"/>
              <w:autoSpaceDN w:val="0"/>
              <w:adjustRightInd w:val="0"/>
              <w:spacing w:after="0"/>
              <w:rPr>
                <w:rFonts w:ascii="PT Astra Serif" w:hAnsi="PT Astra Serif"/>
              </w:rPr>
            </w:pPr>
          </w:p>
          <w:p w14:paraId="7A7155BD" w14:textId="77777777" w:rsidR="00E25557" w:rsidRDefault="00E25557" w:rsidP="00931474">
            <w:pPr>
              <w:autoSpaceDE w:val="0"/>
              <w:autoSpaceDN w:val="0"/>
              <w:adjustRightInd w:val="0"/>
              <w:spacing w:after="0"/>
              <w:rPr>
                <w:rFonts w:ascii="PT Astra Serif" w:hAnsi="PT Astra Serif"/>
              </w:rPr>
            </w:pPr>
          </w:p>
          <w:p w14:paraId="68F33090" w14:textId="77777777" w:rsidR="00E25557" w:rsidRDefault="00E25557" w:rsidP="00931474">
            <w:pPr>
              <w:autoSpaceDE w:val="0"/>
              <w:autoSpaceDN w:val="0"/>
              <w:adjustRightInd w:val="0"/>
              <w:spacing w:after="0"/>
              <w:rPr>
                <w:rFonts w:ascii="PT Astra Serif" w:hAnsi="PT Astra Serif"/>
              </w:rPr>
            </w:pPr>
          </w:p>
          <w:p w14:paraId="549AFCB9" w14:textId="77777777" w:rsidR="00E25557" w:rsidRDefault="00E25557" w:rsidP="00931474">
            <w:pPr>
              <w:autoSpaceDE w:val="0"/>
              <w:autoSpaceDN w:val="0"/>
              <w:adjustRightInd w:val="0"/>
              <w:spacing w:after="0"/>
              <w:rPr>
                <w:rFonts w:ascii="PT Astra Serif" w:hAnsi="PT Astra Serif"/>
              </w:rPr>
            </w:pPr>
          </w:p>
          <w:p w14:paraId="58DE1B13" w14:textId="77777777" w:rsidR="00E25557" w:rsidRDefault="00E25557" w:rsidP="00931474">
            <w:pPr>
              <w:autoSpaceDE w:val="0"/>
              <w:autoSpaceDN w:val="0"/>
              <w:adjustRightInd w:val="0"/>
              <w:spacing w:after="0"/>
              <w:rPr>
                <w:rFonts w:ascii="PT Astra Serif" w:hAnsi="PT Astra Serif"/>
              </w:rPr>
            </w:pPr>
          </w:p>
          <w:p w14:paraId="5BC187E2" w14:textId="77777777" w:rsidR="00E25557" w:rsidRDefault="00E25557" w:rsidP="00931474">
            <w:pPr>
              <w:autoSpaceDE w:val="0"/>
              <w:autoSpaceDN w:val="0"/>
              <w:adjustRightInd w:val="0"/>
              <w:spacing w:after="0"/>
              <w:rPr>
                <w:rFonts w:ascii="PT Astra Serif" w:hAnsi="PT Astra Serif"/>
              </w:rPr>
            </w:pPr>
          </w:p>
          <w:p w14:paraId="2A86DD18" w14:textId="77777777" w:rsidR="00E25557" w:rsidRDefault="00E25557" w:rsidP="00931474">
            <w:pPr>
              <w:autoSpaceDE w:val="0"/>
              <w:autoSpaceDN w:val="0"/>
              <w:adjustRightInd w:val="0"/>
              <w:spacing w:after="0"/>
              <w:rPr>
                <w:rFonts w:ascii="PT Astra Serif" w:hAnsi="PT Astra Serif"/>
              </w:rPr>
            </w:pPr>
          </w:p>
          <w:p w14:paraId="12DC9C17" w14:textId="77777777" w:rsidR="00E25557" w:rsidRDefault="00E25557" w:rsidP="00931474">
            <w:pPr>
              <w:autoSpaceDE w:val="0"/>
              <w:autoSpaceDN w:val="0"/>
              <w:adjustRightInd w:val="0"/>
              <w:spacing w:after="0"/>
              <w:rPr>
                <w:rFonts w:ascii="PT Astra Serif" w:hAnsi="PT Astra Serif"/>
              </w:rPr>
            </w:pPr>
          </w:p>
          <w:p w14:paraId="345CE4F0" w14:textId="77777777" w:rsidR="00E25557" w:rsidRDefault="00E25557"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D22DC4" w:rsidRDefault="00AB418B" w:rsidP="00AB418B">
      <w:pPr>
        <w:spacing w:after="0"/>
        <w:rPr>
          <w:rFonts w:ascii="PT Astra Serif" w:hAnsi="PT Astra Serif"/>
          <w:sz w:val="28"/>
          <w:lang w:val="en-US"/>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D22DC4" w:rsidRDefault="00053F01" w:rsidP="00053F01">
      <w:pPr>
        <w:spacing w:after="0"/>
        <w:rPr>
          <w:rFonts w:ascii="PT Astra Serif" w:hAnsi="PT Astra Serif"/>
          <w:sz w:val="28"/>
          <w:lang w:val="en-US"/>
        </w:rPr>
      </w:pPr>
    </w:p>
    <w:p w14:paraId="2B13B436" w14:textId="46A8DD64" w:rsidR="00AB418B" w:rsidRDefault="00033B23" w:rsidP="00AB418B">
      <w:pPr>
        <w:spacing w:after="0"/>
        <w:rPr>
          <w:rFonts w:ascii="PT Astra Serif" w:hAnsi="PT Astra Serif"/>
          <w:sz w:val="28"/>
        </w:rPr>
      </w:pPr>
      <w:proofErr w:type="spellStart"/>
      <w:r>
        <w:rPr>
          <w:rFonts w:ascii="PT Astra Serif" w:hAnsi="PT Astra Serif"/>
          <w:sz w:val="28"/>
        </w:rPr>
        <w:t>И.о</w:t>
      </w:r>
      <w:proofErr w:type="spellEnd"/>
      <w:r>
        <w:rPr>
          <w:rFonts w:ascii="PT Astra Serif" w:hAnsi="PT Astra Serif"/>
          <w:sz w:val="28"/>
        </w:rPr>
        <w:t>. заведующего по АХР</w:t>
      </w:r>
      <w:r w:rsidR="00AB418B" w:rsidRPr="00D22DC4">
        <w:rPr>
          <w:rFonts w:ascii="PT Astra Serif" w:hAnsi="PT Astra Serif"/>
          <w:sz w:val="28"/>
        </w:rPr>
        <w:t>:</w:t>
      </w:r>
      <w:r w:rsidR="00AB418B" w:rsidRPr="00D22DC4">
        <w:rPr>
          <w:rFonts w:ascii="PT Astra Serif" w:hAnsi="PT Astra Serif"/>
          <w:sz w:val="28"/>
        </w:rPr>
        <w:tab/>
      </w:r>
      <w:r w:rsidR="00AB418B" w:rsidRPr="00D22DC4">
        <w:rPr>
          <w:rFonts w:ascii="PT Astra Serif" w:hAnsi="PT Astra Serif"/>
          <w:sz w:val="28"/>
        </w:rPr>
        <w:tab/>
      </w:r>
      <w:r w:rsidR="00AB418B" w:rsidRPr="00D22DC4">
        <w:rPr>
          <w:rFonts w:ascii="PT Astra Serif" w:hAnsi="PT Astra Serif"/>
          <w:sz w:val="28"/>
        </w:rPr>
        <w:tab/>
      </w:r>
      <w:r w:rsidR="00544696" w:rsidRPr="00D22DC4">
        <w:rPr>
          <w:rFonts w:ascii="PT Astra Serif" w:hAnsi="PT Astra Serif"/>
          <w:sz w:val="28"/>
        </w:rPr>
        <w:tab/>
      </w:r>
      <w:r>
        <w:rPr>
          <w:rFonts w:ascii="PT Astra Serif" w:hAnsi="PT Astra Serif"/>
          <w:sz w:val="28"/>
        </w:rPr>
        <w:t xml:space="preserve">         Е.А. </w:t>
      </w:r>
      <w:proofErr w:type="spellStart"/>
      <w:r>
        <w:rPr>
          <w:rFonts w:ascii="PT Astra Serif" w:hAnsi="PT Astra Serif"/>
          <w:sz w:val="28"/>
        </w:rPr>
        <w:t>Косульников</w:t>
      </w:r>
      <w:proofErr w:type="spellEnd"/>
    </w:p>
    <w:p w14:paraId="3D690FBE" w14:textId="77777777" w:rsidR="00033B23" w:rsidRDefault="00033B23" w:rsidP="00AB418B">
      <w:pPr>
        <w:spacing w:after="0"/>
        <w:rPr>
          <w:rFonts w:ascii="PT Astra Serif" w:hAnsi="PT Astra Serif"/>
          <w:sz w:val="28"/>
        </w:rPr>
      </w:pPr>
    </w:p>
    <w:p w14:paraId="028DCF75" w14:textId="1C66B0C8" w:rsidR="00033B23" w:rsidRPr="00D22DC4" w:rsidRDefault="00033B23" w:rsidP="00AB418B">
      <w:pPr>
        <w:spacing w:after="0"/>
        <w:rPr>
          <w:rFonts w:ascii="PT Astra Serif" w:hAnsi="PT Astra Serif"/>
          <w:sz w:val="28"/>
        </w:rPr>
      </w:pPr>
      <w:r w:rsidRPr="00033B23">
        <w:rPr>
          <w:rFonts w:ascii="PT Astra Serif" w:hAnsi="PT Astra Serif"/>
          <w:sz w:val="28"/>
        </w:rPr>
        <w:t>Отдел опеки и попечительства</w:t>
      </w:r>
      <w:r>
        <w:rPr>
          <w:rFonts w:ascii="PT Astra Serif" w:hAnsi="PT Astra Serif"/>
          <w:sz w:val="28"/>
        </w:rPr>
        <w:t xml:space="preserve">                                    /______________/. </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2D39020"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33B23">
        <w:rPr>
          <w:rFonts w:ascii="PT Astra Serif" w:hAnsi="PT Astra Serif"/>
          <w:sz w:val="28"/>
        </w:rPr>
        <w:t>/______________/.</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C505D21"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33B23">
        <w:rPr>
          <w:rFonts w:ascii="PT Astra Serif" w:hAnsi="PT Astra Serif"/>
        </w:rPr>
        <w:t>1</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BEF92EC" w:rsidR="00607C5B" w:rsidRPr="00DB69CB" w:rsidRDefault="00205304" w:rsidP="00033B23">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 xml:space="preserve">на поставку продукции </w:t>
      </w:r>
      <w:r w:rsidR="00033B23">
        <w:rPr>
          <w:rFonts w:ascii="PT Astra Serif" w:hAnsi="PT Astra Serif"/>
          <w:b/>
          <w:bCs/>
        </w:rPr>
        <w:t>канцелярских товаров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754"/>
        <w:gridCol w:w="2693"/>
        <w:gridCol w:w="822"/>
        <w:gridCol w:w="1134"/>
        <w:gridCol w:w="850"/>
        <w:gridCol w:w="1135"/>
      </w:tblGrid>
      <w:tr w:rsidR="00B81513" w:rsidRPr="00D1206A" w14:paraId="58B2AC57" w14:textId="77777777" w:rsidTr="00D22DC4">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754"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2693"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607C5B" w:rsidRPr="009E6CCE" w14:paraId="2A6A805C" w14:textId="77777777" w:rsidTr="00D22DC4">
        <w:tc>
          <w:tcPr>
            <w:tcW w:w="535" w:type="dxa"/>
            <w:shd w:val="clear" w:color="auto" w:fill="auto"/>
          </w:tcPr>
          <w:p w14:paraId="66984729" w14:textId="177478B8" w:rsidR="00607C5B" w:rsidRPr="009E6CCE" w:rsidRDefault="00F637B2" w:rsidP="00F637B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754" w:type="dxa"/>
            <w:tcBorders>
              <w:top w:val="single" w:sz="4" w:space="0" w:color="auto"/>
              <w:left w:val="single" w:sz="4" w:space="0" w:color="auto"/>
              <w:bottom w:val="single" w:sz="4" w:space="0" w:color="auto"/>
              <w:right w:val="single" w:sz="4" w:space="0" w:color="auto"/>
            </w:tcBorders>
          </w:tcPr>
          <w:p w14:paraId="7AEED040" w14:textId="1334CB26" w:rsidR="00607C5B" w:rsidRPr="009E6CCE" w:rsidRDefault="00607C5B" w:rsidP="00607C5B">
            <w:pPr>
              <w:autoSpaceDE w:val="0"/>
              <w:spacing w:after="0"/>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14:paraId="36B817B8"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4F72BA0C" w14:textId="69FFBE4F"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1134" w:type="dxa"/>
            <w:shd w:val="clear" w:color="auto" w:fill="auto"/>
          </w:tcPr>
          <w:p w14:paraId="7F582DC8"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E1402C" w14:textId="3211A550" w:rsidR="00607C5B" w:rsidRPr="009E6CCE" w:rsidRDefault="00607C5B" w:rsidP="006969B9">
            <w:pPr>
              <w:autoSpaceDE w:val="0"/>
              <w:spacing w:after="0"/>
              <w:jc w:val="center"/>
              <w:rPr>
                <w:rFonts w:ascii="PT Astra Serif" w:hAnsi="PT Astra Serif"/>
                <w:sz w:val="20"/>
              </w:rPr>
            </w:pPr>
          </w:p>
        </w:tc>
        <w:tc>
          <w:tcPr>
            <w:tcW w:w="1135" w:type="dxa"/>
            <w:shd w:val="clear" w:color="auto" w:fill="auto"/>
          </w:tcPr>
          <w:p w14:paraId="0067D532"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5458081A" w14:textId="3AE869CA" w:rsidR="00205304" w:rsidRDefault="00205304" w:rsidP="00AB418B">
      <w:pPr>
        <w:autoSpaceDE w:val="0"/>
        <w:autoSpaceDN w:val="0"/>
        <w:adjustRightInd w:val="0"/>
        <w:spacing w:after="0"/>
        <w:ind w:firstLine="709"/>
        <w:rPr>
          <w:rFonts w:ascii="PT Astra Serif" w:hAnsi="PT Astra Serif"/>
          <w:bCs/>
        </w:rPr>
      </w:pPr>
    </w:p>
    <w:p w14:paraId="6B621A3D" w14:textId="77777777" w:rsidR="00033B23" w:rsidRDefault="00033B23" w:rsidP="00AB418B">
      <w:pPr>
        <w:autoSpaceDE w:val="0"/>
        <w:autoSpaceDN w:val="0"/>
        <w:adjustRightInd w:val="0"/>
        <w:spacing w:after="0"/>
        <w:ind w:firstLine="709"/>
        <w:rPr>
          <w:rFonts w:ascii="PT Astra Serif" w:hAnsi="PT Astra Serif"/>
          <w:bCs/>
        </w:rPr>
      </w:pPr>
    </w:p>
    <w:p w14:paraId="2D958129" w14:textId="77777777" w:rsidR="00033B23" w:rsidRPr="00DB69CB" w:rsidRDefault="00033B23"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bookmarkStart w:id="4" w:name="_GoBack"/>
      <w:bookmarkEnd w:id="4"/>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9D33C" w14:textId="77777777" w:rsidR="007E1904" w:rsidRDefault="007E1904">
      <w:r>
        <w:separator/>
      </w:r>
    </w:p>
  </w:endnote>
  <w:endnote w:type="continuationSeparator" w:id="0">
    <w:p w14:paraId="7712665D" w14:textId="77777777" w:rsidR="007E1904" w:rsidRDefault="007E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7B3B468D"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F3194">
      <w:rPr>
        <w:rStyle w:val="a5"/>
        <w:noProof/>
      </w:rPr>
      <w:t>13</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A6405" w14:textId="77777777" w:rsidR="007E1904" w:rsidRDefault="007E1904">
      <w:r>
        <w:separator/>
      </w:r>
    </w:p>
  </w:footnote>
  <w:footnote w:type="continuationSeparator" w:id="0">
    <w:p w14:paraId="45602112" w14:textId="77777777" w:rsidR="007E1904" w:rsidRDefault="007E1904">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 xml:space="preserve">Во всех случаях (за исключением случаев, предусмотренных пунктами 4 - </w:t>
      </w:r>
      <w:hyperlink r:id="rId1" w:history="1">
        <w:r w:rsidRPr="00D22DC4">
          <w:rPr>
            <w:rFonts w:ascii="PT Astra Serif" w:hAnsi="PT Astra Serif" w:cs="Times New Roman"/>
          </w:rPr>
          <w:t>8</w:t>
        </w:r>
      </w:hyperlink>
      <w:r w:rsidRPr="00D22DC4">
        <w:rPr>
          <w:rFonts w:ascii="PT Astra Serif" w:hAnsi="PT Astra Serif" w:cs="Times New Roman"/>
        </w:rPr>
        <w:t xml:space="preserve"> Правил) размер штрафа устанавливается в соответствии с пунктом 3 Правил:</w:t>
      </w:r>
    </w:p>
    <w:p w14:paraId="5571D635"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(этапа) в случае, если цена Контракта (этапа) не превышает 3 млн рублей;</w:t>
      </w:r>
    </w:p>
    <w:p w14:paraId="0B33879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0,1 процента цены Контракта (этапа) в случае, если цена Контракта (этапа) превышает 10 млрд рублей.</w:t>
      </w:r>
    </w:p>
    <w:p w14:paraId="7BC31C5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D22DC4">
          <w:rPr>
            <w:rFonts w:ascii="PT Astra Serif" w:hAnsi="PT Astra Serif" w:cs="Times New Roman"/>
          </w:rPr>
          <w:t>пунктом 1 части 1 статьи 30</w:t>
        </w:r>
      </w:hyperlink>
      <w:r w:rsidRPr="00D22DC4">
        <w:rPr>
          <w:rFonts w:ascii="PT Astra Serif" w:hAnsi="PT Astra Serif" w:cs="Times New Roman"/>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33B23"/>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098E"/>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6A02"/>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3194"/>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0F72"/>
    <w:rsid w:val="00572DD4"/>
    <w:rsid w:val="00572F88"/>
    <w:rsid w:val="00573559"/>
    <w:rsid w:val="00575C15"/>
    <w:rsid w:val="0058136B"/>
    <w:rsid w:val="00581D46"/>
    <w:rsid w:val="005820D7"/>
    <w:rsid w:val="00582C8D"/>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4E95"/>
    <w:rsid w:val="006D5D2B"/>
    <w:rsid w:val="006E176B"/>
    <w:rsid w:val="006E19EB"/>
    <w:rsid w:val="006E3167"/>
    <w:rsid w:val="006E324B"/>
    <w:rsid w:val="006E53FA"/>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904"/>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6A8"/>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16D5C"/>
    <w:rsid w:val="00E239F4"/>
    <w:rsid w:val="00E23F22"/>
    <w:rsid w:val="00E25557"/>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0BA6"/>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C074-1EDF-45C0-A38A-5EAB3276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4626</Words>
  <Characters>26369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30934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7</cp:revision>
  <cp:lastPrinted>2021-06-04T10:20:00Z</cp:lastPrinted>
  <dcterms:created xsi:type="dcterms:W3CDTF">2021-05-31T11:22:00Z</dcterms:created>
  <dcterms:modified xsi:type="dcterms:W3CDTF">2021-06-04T10:28:00Z</dcterms:modified>
</cp:coreProperties>
</file>