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E5BF6" w:rsidP="006E2615">
            <w:pPr>
              <w:keepNext/>
              <w:keepLines/>
              <w:widowControl w:val="0"/>
              <w:suppressLineNumbers/>
              <w:suppressAutoHyphens/>
              <w:rPr>
                <w:rStyle w:val="afb"/>
                <w:i w:val="0"/>
              </w:rPr>
            </w:pPr>
            <w:r>
              <w:rPr>
                <w:rStyle w:val="afb"/>
                <w:b/>
                <w:i w:val="0"/>
                <w:sz w:val="22"/>
                <w:szCs w:val="22"/>
              </w:rPr>
              <w:t>15 663 136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w:t>
            </w:r>
            <w:r w:rsidR="00485AAE">
              <w:rPr>
                <w:sz w:val="22"/>
                <w:szCs w:val="22"/>
              </w:rPr>
              <w:t>21</w:t>
            </w:r>
            <w:r w:rsidR="00B53C69">
              <w:rPr>
                <w:sz w:val="22"/>
                <w:szCs w:val="22"/>
              </w:rPr>
              <w:t>__</w:t>
            </w:r>
            <w:r w:rsidRPr="008455D9">
              <w:rPr>
                <w:sz w:val="22"/>
                <w:szCs w:val="22"/>
              </w:rPr>
              <w:t xml:space="preserve">»  </w:t>
            </w:r>
            <w:r w:rsidR="00B53C69">
              <w:rPr>
                <w:sz w:val="22"/>
                <w:szCs w:val="22"/>
              </w:rPr>
              <w:t>_</w:t>
            </w:r>
            <w:r w:rsidR="00485AAE">
              <w:rPr>
                <w:sz w:val="22"/>
                <w:szCs w:val="22"/>
              </w:rPr>
              <w:t>августа</w:t>
            </w:r>
            <w:r w:rsidR="00B53C69">
              <w:rPr>
                <w:sz w:val="22"/>
                <w:szCs w:val="22"/>
              </w:rPr>
              <w:t>______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__</w:t>
            </w:r>
            <w:r w:rsidR="00485AAE">
              <w:rPr>
                <w:sz w:val="22"/>
                <w:szCs w:val="22"/>
              </w:rPr>
              <w:t>05</w:t>
            </w:r>
            <w:r w:rsidR="00B53C69">
              <w:rPr>
                <w:sz w:val="22"/>
                <w:szCs w:val="22"/>
              </w:rPr>
              <w:t>__</w:t>
            </w:r>
            <w:r w:rsidR="00A05A73" w:rsidRPr="008455D9">
              <w:rPr>
                <w:sz w:val="22"/>
                <w:szCs w:val="22"/>
              </w:rPr>
              <w:t xml:space="preserve">»  </w:t>
            </w:r>
            <w:r w:rsidR="00B53C69">
              <w:rPr>
                <w:sz w:val="22"/>
                <w:szCs w:val="22"/>
              </w:rPr>
              <w:t>__</w:t>
            </w:r>
            <w:r w:rsidR="00485AAE">
              <w:rPr>
                <w:rFonts w:cs="Arial"/>
                <w:sz w:val="22"/>
                <w:szCs w:val="22"/>
              </w:rPr>
              <w:t xml:space="preserve"> </w:t>
            </w:r>
            <w:r w:rsidR="00485AAE">
              <w:rPr>
                <w:rFonts w:cs="Arial"/>
                <w:sz w:val="22"/>
                <w:szCs w:val="22"/>
              </w:rPr>
              <w:t xml:space="preserve">сентября </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___</w:t>
            </w:r>
            <w:r w:rsidR="00485AAE">
              <w:rPr>
                <w:sz w:val="22"/>
                <w:szCs w:val="22"/>
              </w:rPr>
              <w:t>07</w:t>
            </w:r>
            <w:r w:rsidR="00B53C69">
              <w:rPr>
                <w:sz w:val="22"/>
                <w:szCs w:val="22"/>
              </w:rPr>
              <w:t>__</w:t>
            </w:r>
            <w:r w:rsidR="00A05A73" w:rsidRPr="008455D9">
              <w:rPr>
                <w:sz w:val="22"/>
                <w:szCs w:val="22"/>
              </w:rPr>
              <w:t xml:space="preserve">»  </w:t>
            </w:r>
            <w:r w:rsidR="00B53C69">
              <w:rPr>
                <w:sz w:val="22"/>
                <w:szCs w:val="22"/>
              </w:rPr>
              <w:t>___</w:t>
            </w:r>
            <w:r w:rsidR="00485AAE">
              <w:rPr>
                <w:rFonts w:cs="Arial"/>
                <w:sz w:val="22"/>
                <w:szCs w:val="22"/>
              </w:rPr>
              <w:t xml:space="preserve"> </w:t>
            </w:r>
            <w:r w:rsidR="00485AAE">
              <w:rPr>
                <w:rFonts w:cs="Arial"/>
                <w:sz w:val="22"/>
                <w:szCs w:val="22"/>
              </w:rPr>
              <w:t xml:space="preserve">сентября </w:t>
            </w:r>
            <w:r w:rsidR="00B53C69">
              <w:rPr>
                <w:sz w:val="22"/>
                <w:szCs w:val="22"/>
              </w:rPr>
              <w:t>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w:t>
            </w:r>
            <w:r w:rsidR="00485AAE">
              <w:rPr>
                <w:sz w:val="22"/>
                <w:szCs w:val="22"/>
              </w:rPr>
              <w:t>08</w:t>
            </w:r>
            <w:r>
              <w:rPr>
                <w:sz w:val="22"/>
                <w:szCs w:val="22"/>
              </w:rPr>
              <w:t>___</w:t>
            </w:r>
            <w:r w:rsidR="00A05A73">
              <w:rPr>
                <w:sz w:val="22"/>
                <w:szCs w:val="22"/>
              </w:rPr>
              <w:t xml:space="preserve">» </w:t>
            </w:r>
            <w:r>
              <w:rPr>
                <w:sz w:val="22"/>
                <w:szCs w:val="22"/>
              </w:rPr>
              <w:t>_</w:t>
            </w:r>
            <w:r w:rsidR="00485AAE">
              <w:rPr>
                <w:rFonts w:cs="Arial"/>
                <w:sz w:val="22"/>
                <w:szCs w:val="22"/>
              </w:rPr>
              <w:t xml:space="preserve"> </w:t>
            </w:r>
            <w:r w:rsidR="00485AAE">
              <w:rPr>
                <w:rFonts w:cs="Arial"/>
                <w:sz w:val="22"/>
                <w:szCs w:val="22"/>
              </w:rPr>
              <w:t xml:space="preserve">сентября </w:t>
            </w:r>
            <w:r>
              <w:rPr>
                <w:sz w:val="22"/>
                <w:szCs w:val="22"/>
              </w:rPr>
              <w:t>______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w:t>
            </w:r>
            <w:r w:rsidR="00485AAE">
              <w:rPr>
                <w:sz w:val="22"/>
                <w:szCs w:val="22"/>
              </w:rPr>
              <w:t>11</w:t>
            </w:r>
            <w:r w:rsidR="00B53C69">
              <w:rPr>
                <w:sz w:val="22"/>
                <w:szCs w:val="22"/>
              </w:rPr>
              <w:t>___</w:t>
            </w:r>
            <w:r>
              <w:rPr>
                <w:sz w:val="22"/>
                <w:szCs w:val="22"/>
              </w:rPr>
              <w:t xml:space="preserve">» </w:t>
            </w:r>
            <w:r w:rsidR="00B53C69">
              <w:rPr>
                <w:sz w:val="22"/>
                <w:szCs w:val="22"/>
              </w:rPr>
              <w:t>_</w:t>
            </w:r>
            <w:r w:rsidR="00485AAE">
              <w:rPr>
                <w:rFonts w:cs="Arial"/>
                <w:sz w:val="22"/>
                <w:szCs w:val="22"/>
              </w:rPr>
              <w:t xml:space="preserve"> </w:t>
            </w:r>
            <w:r w:rsidR="00485AAE">
              <w:rPr>
                <w:rFonts w:cs="Arial"/>
                <w:sz w:val="22"/>
                <w:szCs w:val="22"/>
              </w:rPr>
              <w:t xml:space="preserve">сентября </w:t>
            </w:r>
            <w:bookmarkStart w:id="13" w:name="_GoBack"/>
            <w:bookmarkEnd w:id="13"/>
            <w:r w:rsidR="00B53C69">
              <w:rPr>
                <w:sz w:val="22"/>
                <w:szCs w:val="22"/>
              </w:rPr>
              <w:t>________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2E5BF6">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70628">
              <w:rPr>
                <w:b/>
                <w:kern w:val="1"/>
                <w:sz w:val="22"/>
                <w:szCs w:val="22"/>
                <w:lang w:eastAsia="ar-SA"/>
              </w:rPr>
              <w:t>7</w:t>
            </w:r>
            <w:r w:rsidR="002E5BF6">
              <w:rPr>
                <w:b/>
                <w:kern w:val="1"/>
                <w:sz w:val="22"/>
                <w:szCs w:val="22"/>
                <w:lang w:eastAsia="ar-SA"/>
              </w:rPr>
              <w:t>8 315,68</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EF0815" w:rsidP="007049DF">
      <w:pPr>
        <w:pStyle w:val="afc"/>
        <w:rPr>
          <w:rFonts w:ascii="Times New Roman" w:hAnsi="Times New Roman"/>
          <w:b/>
          <w:sz w:val="20"/>
        </w:rPr>
      </w:pPr>
      <w:r>
        <w:rPr>
          <w:rFonts w:ascii="Times New Roman" w:hAnsi="Times New Roman"/>
          <w:b/>
          <w:sz w:val="20"/>
        </w:rPr>
        <w:t>1</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EF0815" w:rsidP="00B53C69">
            <w:pPr>
              <w:autoSpaceDE w:val="0"/>
              <w:snapToGrid w:val="0"/>
              <w:spacing w:line="276" w:lineRule="auto"/>
              <w:ind w:right="-174"/>
              <w:jc w:val="center"/>
              <w:rPr>
                <w:sz w:val="20"/>
                <w:lang w:eastAsia="en-US"/>
              </w:rPr>
            </w:pPr>
            <w:r>
              <w:rPr>
                <w:sz w:val="20"/>
                <w:lang w:eastAsia="en-US"/>
              </w:rPr>
              <w:t>8</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EF0815">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EF0815">
              <w:rPr>
                <w:sz w:val="20"/>
                <w:lang w:eastAsia="en-US"/>
              </w:rPr>
              <w:t>296</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E529C1">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EF0815"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174"/>
              <w:jc w:val="center"/>
              <w:rPr>
                <w:b/>
                <w:sz w:val="20"/>
                <w:szCs w:val="20"/>
              </w:rPr>
            </w:pPr>
            <w:r>
              <w:rPr>
                <w:b/>
                <w:sz w:val="20"/>
                <w:szCs w:val="20"/>
              </w:rPr>
              <w:t>6.</w:t>
            </w:r>
          </w:p>
        </w:tc>
        <w:tc>
          <w:tcPr>
            <w:tcW w:w="1058"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snapToGrid w:val="0"/>
              <w:ind w:right="-22"/>
              <w:jc w:val="center"/>
              <w:rPr>
                <w:sz w:val="20"/>
                <w:szCs w:val="20"/>
              </w:rPr>
            </w:pPr>
          </w:p>
        </w:tc>
      </w:tr>
      <w:tr w:rsidR="00EF0815"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174"/>
              <w:jc w:val="center"/>
              <w:rPr>
                <w:b/>
                <w:sz w:val="20"/>
                <w:szCs w:val="20"/>
              </w:rPr>
            </w:pPr>
            <w:r>
              <w:rPr>
                <w:b/>
                <w:sz w:val="20"/>
                <w:szCs w:val="20"/>
              </w:rPr>
              <w:t>7.</w:t>
            </w:r>
          </w:p>
        </w:tc>
        <w:tc>
          <w:tcPr>
            <w:tcW w:w="1058"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snapToGrid w:val="0"/>
              <w:ind w:right="-22"/>
              <w:jc w:val="center"/>
              <w:rPr>
                <w:sz w:val="20"/>
                <w:szCs w:val="20"/>
              </w:rPr>
            </w:pPr>
          </w:p>
        </w:tc>
      </w:tr>
      <w:tr w:rsidR="00EF0815"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174"/>
              <w:jc w:val="center"/>
              <w:rPr>
                <w:b/>
                <w:sz w:val="20"/>
                <w:szCs w:val="20"/>
              </w:rPr>
            </w:pPr>
            <w:r>
              <w:rPr>
                <w:b/>
                <w:sz w:val="20"/>
                <w:szCs w:val="20"/>
              </w:rPr>
              <w:t>8.</w:t>
            </w:r>
          </w:p>
        </w:tc>
        <w:tc>
          <w:tcPr>
            <w:tcW w:w="1058"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EF0815" w:rsidRDefault="00EF0815"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EF0815" w:rsidRPr="007260A1" w:rsidRDefault="00EF0815"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EF0815" w:rsidRPr="007260A1" w:rsidRDefault="00EF0815" w:rsidP="00B53C69">
            <w:pPr>
              <w:snapToGrid w:val="0"/>
              <w:ind w:right="-22"/>
              <w:jc w:val="center"/>
              <w:rPr>
                <w:sz w:val="20"/>
                <w:szCs w:val="20"/>
              </w:rPr>
            </w:pPr>
          </w:p>
        </w:tc>
      </w:tr>
    </w:tbl>
    <w:p w:rsidR="00043F1D" w:rsidRPr="009525E5" w:rsidRDefault="00043F1D" w:rsidP="00043F1D">
      <w:pPr>
        <w:spacing w:after="120"/>
        <w:ind w:firstLine="720"/>
        <w:rPr>
          <w:sz w:val="23"/>
          <w:szCs w:val="23"/>
        </w:rPr>
      </w:pPr>
      <w:r w:rsidRPr="009525E5">
        <w:rPr>
          <w:sz w:val="23"/>
          <w:szCs w:val="23"/>
        </w:rPr>
        <w:t>Исполнение – капитальное.</w:t>
      </w:r>
    </w:p>
    <w:p w:rsidR="00043F1D" w:rsidRPr="009525E5" w:rsidRDefault="004E5FC9" w:rsidP="00043F1D">
      <w:pPr>
        <w:snapToGrid w:val="0"/>
        <w:spacing w:after="0"/>
        <w:ind w:firstLine="709"/>
        <w:rPr>
          <w:color w:val="000000"/>
          <w:sz w:val="23"/>
          <w:szCs w:val="23"/>
        </w:rPr>
      </w:pPr>
      <w:r w:rsidRPr="009525E5">
        <w:rPr>
          <w:color w:val="000000"/>
          <w:sz w:val="23"/>
          <w:szCs w:val="23"/>
        </w:rPr>
        <w:t>Квартиры</w:t>
      </w:r>
      <w:r w:rsidR="00043F1D" w:rsidRPr="009525E5">
        <w:rPr>
          <w:color w:val="000000"/>
          <w:sz w:val="23"/>
          <w:szCs w:val="23"/>
        </w:rPr>
        <w:t xml:space="preserve"> оборудованы:</w:t>
      </w:r>
    </w:p>
    <w:p w:rsidR="00043F1D" w:rsidRPr="009525E5" w:rsidRDefault="00043F1D" w:rsidP="00043F1D">
      <w:pPr>
        <w:pStyle w:val="afa"/>
        <w:numPr>
          <w:ilvl w:val="0"/>
          <w:numId w:val="16"/>
        </w:numPr>
        <w:snapToGrid w:val="0"/>
        <w:ind w:left="0" w:firstLine="709"/>
        <w:rPr>
          <w:color w:val="000000"/>
          <w:sz w:val="23"/>
          <w:szCs w:val="23"/>
        </w:rPr>
      </w:pPr>
      <w:proofErr w:type="gramStart"/>
      <w:r w:rsidRPr="009525E5">
        <w:rPr>
          <w:color w:val="000000"/>
          <w:sz w:val="23"/>
          <w:szCs w:val="23"/>
        </w:rPr>
        <w:t>входной</w:t>
      </w:r>
      <w:proofErr w:type="gramEnd"/>
      <w:r w:rsidRPr="009525E5">
        <w:rPr>
          <w:color w:val="000000"/>
          <w:sz w:val="23"/>
          <w:szCs w:val="23"/>
        </w:rPr>
        <w:t xml:space="preserve"> и межкомнатными дверями,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наружными оконными конструкциями,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электрической разводкой,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электрическими розетками и выключателями,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электросчётчиком, </w:t>
      </w:r>
    </w:p>
    <w:p w:rsidR="00043F1D" w:rsidRPr="009525E5" w:rsidRDefault="00043F1D" w:rsidP="00043F1D">
      <w:pPr>
        <w:pStyle w:val="afa"/>
        <w:numPr>
          <w:ilvl w:val="0"/>
          <w:numId w:val="16"/>
        </w:numPr>
        <w:ind w:left="0" w:firstLine="709"/>
        <w:rPr>
          <w:color w:val="000000"/>
          <w:sz w:val="23"/>
          <w:szCs w:val="23"/>
        </w:rPr>
      </w:pPr>
      <w:r w:rsidRPr="009525E5">
        <w:rPr>
          <w:color w:val="000000"/>
          <w:sz w:val="23"/>
          <w:szCs w:val="23"/>
        </w:rPr>
        <w:t>электрической или газовой плитой,</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приборами учета горячей и холодной воды,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отопительной системой,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сантехническими стояками,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 xml:space="preserve">вентиляцией, </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чистовой отделкой стен и потолков,</w:t>
      </w:r>
    </w:p>
    <w:p w:rsidR="00043F1D" w:rsidRPr="009525E5" w:rsidRDefault="00043F1D" w:rsidP="00043F1D">
      <w:pPr>
        <w:pStyle w:val="afa"/>
        <w:numPr>
          <w:ilvl w:val="0"/>
          <w:numId w:val="16"/>
        </w:numPr>
        <w:snapToGrid w:val="0"/>
        <w:ind w:left="0" w:firstLine="709"/>
        <w:rPr>
          <w:color w:val="000000"/>
          <w:sz w:val="23"/>
          <w:szCs w:val="23"/>
        </w:rPr>
      </w:pPr>
      <w:r w:rsidRPr="009525E5">
        <w:rPr>
          <w:color w:val="000000"/>
          <w:sz w:val="23"/>
          <w:szCs w:val="23"/>
        </w:rPr>
        <w:t>настил полов</w:t>
      </w:r>
      <w:r w:rsidRPr="009525E5">
        <w:rPr>
          <w:sz w:val="23"/>
          <w:szCs w:val="23"/>
        </w:rPr>
        <w:t xml:space="preserve"> (</w:t>
      </w:r>
      <w:r w:rsidRPr="009525E5">
        <w:rPr>
          <w:color w:val="000000"/>
          <w:sz w:val="23"/>
          <w:szCs w:val="23"/>
        </w:rPr>
        <w:t xml:space="preserve">всех видов), </w:t>
      </w:r>
    </w:p>
    <w:p w:rsidR="00043F1D" w:rsidRPr="009525E5" w:rsidRDefault="00043F1D" w:rsidP="007B39F0">
      <w:pPr>
        <w:pStyle w:val="afa"/>
        <w:numPr>
          <w:ilvl w:val="0"/>
          <w:numId w:val="16"/>
        </w:numPr>
        <w:snapToGrid w:val="0"/>
        <w:ind w:left="0" w:firstLine="709"/>
        <w:rPr>
          <w:color w:val="000000"/>
          <w:sz w:val="23"/>
          <w:szCs w:val="23"/>
        </w:rPr>
      </w:pPr>
      <w:r w:rsidRPr="009525E5">
        <w:rPr>
          <w:color w:val="000000"/>
          <w:sz w:val="23"/>
          <w:szCs w:val="23"/>
        </w:rPr>
        <w:t>сантехническим оборудованием (унитаз, ванна, раковина со смесителями, мойка).</w:t>
      </w:r>
    </w:p>
    <w:p w:rsidR="00043F1D" w:rsidRPr="009525E5" w:rsidRDefault="00043F1D" w:rsidP="00043F1D">
      <w:pPr>
        <w:ind w:firstLine="720"/>
        <w:rPr>
          <w:sz w:val="23"/>
          <w:szCs w:val="23"/>
        </w:rPr>
      </w:pPr>
      <w:r w:rsidRPr="009525E5">
        <w:rPr>
          <w:sz w:val="23"/>
          <w:szCs w:val="23"/>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525E5">
        <w:rPr>
          <w:sz w:val="23"/>
          <w:szCs w:val="23"/>
        </w:rPr>
        <w:t>согласно</w:t>
      </w:r>
      <w:proofErr w:type="gramEnd"/>
      <w:r w:rsidRPr="009525E5">
        <w:rPr>
          <w:sz w:val="23"/>
          <w:szCs w:val="23"/>
        </w:rPr>
        <w:t xml:space="preserve"> гарантийного срока завода-изготовителя.</w:t>
      </w:r>
    </w:p>
    <w:p w:rsidR="00043F1D" w:rsidRPr="009525E5" w:rsidRDefault="00043F1D" w:rsidP="00043F1D">
      <w:pPr>
        <w:ind w:right="-174"/>
        <w:rPr>
          <w:sz w:val="23"/>
          <w:szCs w:val="23"/>
        </w:rPr>
      </w:pPr>
    </w:p>
    <w:p w:rsidR="00043F1D" w:rsidRPr="009525E5" w:rsidRDefault="00043F1D" w:rsidP="00043F1D">
      <w:pPr>
        <w:ind w:right="-174"/>
        <w:rPr>
          <w:sz w:val="23"/>
          <w:szCs w:val="23"/>
          <w:shd w:val="clear" w:color="auto" w:fill="FFFFFF"/>
        </w:rPr>
      </w:pPr>
      <w:r w:rsidRPr="009525E5">
        <w:rPr>
          <w:b/>
          <w:sz w:val="23"/>
          <w:szCs w:val="23"/>
          <w:shd w:val="clear" w:color="auto" w:fill="FFFFFF"/>
        </w:rPr>
        <w:t>Муниципальный заказчик</w:t>
      </w:r>
      <w:r w:rsidRPr="009525E5">
        <w:rPr>
          <w:sz w:val="23"/>
          <w:szCs w:val="23"/>
          <w:shd w:val="clear" w:color="auto" w:fill="FFFFFF"/>
        </w:rPr>
        <w:t>: 628260, Тюменская обл., Ханты-Мансийский ав</w:t>
      </w:r>
      <w:r w:rsidR="004E5FC9" w:rsidRPr="009525E5">
        <w:rPr>
          <w:sz w:val="23"/>
          <w:szCs w:val="23"/>
          <w:shd w:val="clear" w:color="auto" w:fill="FFFFFF"/>
        </w:rPr>
        <w:t xml:space="preserve">тономный округ-Югра, г. </w:t>
      </w:r>
      <w:proofErr w:type="spellStart"/>
      <w:r w:rsidR="004E5FC9" w:rsidRPr="009525E5">
        <w:rPr>
          <w:sz w:val="23"/>
          <w:szCs w:val="23"/>
          <w:shd w:val="clear" w:color="auto" w:fill="FFFFFF"/>
        </w:rPr>
        <w:t>Югорск</w:t>
      </w:r>
      <w:proofErr w:type="gramStart"/>
      <w:r w:rsidR="004E5FC9" w:rsidRPr="009525E5">
        <w:rPr>
          <w:sz w:val="23"/>
          <w:szCs w:val="23"/>
          <w:shd w:val="clear" w:color="auto" w:fill="FFFFFF"/>
        </w:rPr>
        <w:t>,</w:t>
      </w:r>
      <w:r w:rsidRPr="009525E5">
        <w:rPr>
          <w:sz w:val="23"/>
          <w:szCs w:val="23"/>
          <w:shd w:val="clear" w:color="auto" w:fill="FFFFFF"/>
        </w:rPr>
        <w:t>у</w:t>
      </w:r>
      <w:proofErr w:type="gramEnd"/>
      <w:r w:rsidRPr="009525E5">
        <w:rPr>
          <w:sz w:val="23"/>
          <w:szCs w:val="23"/>
          <w:shd w:val="clear" w:color="auto" w:fill="FFFFFF"/>
        </w:rPr>
        <w:t>л</w:t>
      </w:r>
      <w:proofErr w:type="spellEnd"/>
      <w:r w:rsidRPr="009525E5">
        <w:rPr>
          <w:sz w:val="23"/>
          <w:szCs w:val="23"/>
          <w:shd w:val="clear" w:color="auto" w:fill="FFFFFF"/>
        </w:rPr>
        <w:t xml:space="preserve">. 40 лет Победы, 11, (34675) 5-00-14, факс (34675) 5-00-10  </w:t>
      </w:r>
    </w:p>
    <w:p w:rsidR="00043F1D" w:rsidRPr="009525E5" w:rsidRDefault="00043F1D" w:rsidP="00043F1D">
      <w:pPr>
        <w:ind w:right="-174"/>
        <w:rPr>
          <w:sz w:val="23"/>
          <w:szCs w:val="23"/>
          <w:shd w:val="clear" w:color="auto" w:fill="FFFFFF"/>
        </w:rPr>
      </w:pPr>
      <w:r w:rsidRPr="009525E5">
        <w:rPr>
          <w:sz w:val="23"/>
          <w:szCs w:val="23"/>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980484">
        <w:rPr>
          <w:b/>
        </w:rPr>
        <w:t xml:space="preserve"> НМЦК = 2</w:t>
      </w:r>
      <w:r w:rsidR="00EF0815">
        <w:rPr>
          <w:b/>
        </w:rPr>
        <w:t>96</w:t>
      </w:r>
      <w:r w:rsidR="00894061">
        <w:rPr>
          <w:b/>
        </w:rPr>
        <w:t xml:space="preserve">,0 * 52 916,00 руб. = </w:t>
      </w:r>
      <w:r w:rsidR="00AD1010">
        <w:rPr>
          <w:b/>
        </w:rPr>
        <w:t>15 663 136</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20" w:rsidRDefault="00567220">
      <w:pPr>
        <w:spacing w:after="0"/>
      </w:pPr>
      <w:r>
        <w:separator/>
      </w:r>
    </w:p>
  </w:endnote>
  <w:endnote w:type="continuationSeparator" w:id="0">
    <w:p w:rsidR="00567220" w:rsidRDefault="005672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0628" w:rsidRDefault="00A7062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85AAE">
      <w:rPr>
        <w:rStyle w:val="a7"/>
        <w:noProof/>
      </w:rPr>
      <w:t>7</w:t>
    </w:r>
    <w:r>
      <w:rPr>
        <w:rStyle w:val="a7"/>
      </w:rPr>
      <w:fldChar w:fldCharType="end"/>
    </w:r>
  </w:p>
  <w:p w:rsidR="00A70628" w:rsidRDefault="00A7062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20" w:rsidRDefault="00567220">
      <w:pPr>
        <w:spacing w:after="0"/>
      </w:pPr>
      <w:r>
        <w:separator/>
      </w:r>
    </w:p>
  </w:footnote>
  <w:footnote w:type="continuationSeparator" w:id="0">
    <w:p w:rsidR="00567220" w:rsidRDefault="00567220">
      <w:pPr>
        <w:spacing w:after="0"/>
      </w:pPr>
      <w:r>
        <w:continuationSeparator/>
      </w:r>
    </w:p>
  </w:footnote>
  <w:footnote w:id="1">
    <w:p w:rsidR="00A70628" w:rsidRPr="007F791F" w:rsidRDefault="00A7062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70628" w:rsidRDefault="00A70628" w:rsidP="00043F1D">
      <w:pPr>
        <w:autoSpaceDE w:val="0"/>
        <w:autoSpaceDN w:val="0"/>
        <w:adjustRightInd w:val="0"/>
      </w:pPr>
    </w:p>
  </w:footnote>
  <w:footnote w:id="2">
    <w:p w:rsidR="00A70628" w:rsidRDefault="00A7062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70628" w:rsidRDefault="00A70628" w:rsidP="00043F1D">
      <w:pPr>
        <w:rPr>
          <w:sz w:val="18"/>
        </w:rPr>
      </w:pPr>
      <w:bookmarkStart w:id="33" w:name="sub_1041"/>
      <w:r>
        <w:rPr>
          <w:sz w:val="18"/>
        </w:rPr>
        <w:t>а) 10 процентов цены контракта в случае, если цена контракта не превышает 3 млн. рублей;</w:t>
      </w:r>
    </w:p>
    <w:p w:rsidR="00A70628" w:rsidRDefault="00A70628"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A70628" w:rsidRDefault="00A70628"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A70628" w:rsidRPr="00C863C6" w:rsidRDefault="00A70628"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A70628" w:rsidRDefault="00A70628" w:rsidP="00043F1D">
      <w:pPr>
        <w:pStyle w:val="af4"/>
      </w:pPr>
    </w:p>
  </w:footnote>
  <w:footnote w:id="3">
    <w:p w:rsidR="00A70628" w:rsidRDefault="00A70628" w:rsidP="00043F1D">
      <w:pPr>
        <w:pStyle w:val="af4"/>
      </w:pPr>
      <w:r>
        <w:rPr>
          <w:rStyle w:val="af6"/>
        </w:rPr>
        <w:footnoteRef/>
      </w:r>
      <w:r>
        <w:t xml:space="preserve"> </w:t>
      </w:r>
      <w:r>
        <w:rPr>
          <w:rStyle w:val="af6"/>
        </w:rPr>
        <w:t xml:space="preserve"> </w:t>
      </w:r>
    </w:p>
    <w:p w:rsidR="00A70628" w:rsidRPr="00F75BC0" w:rsidRDefault="00A7062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70628" w:rsidRPr="00F75BC0" w:rsidRDefault="00A70628"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A70628" w:rsidRPr="00F75BC0" w:rsidRDefault="00A70628"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A70628" w:rsidRPr="00F75BC0" w:rsidRDefault="00A70628"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A70628" w:rsidRPr="00F75BC0" w:rsidRDefault="00A70628"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A70628" w:rsidRDefault="00A70628" w:rsidP="00043F1D">
      <w:pPr>
        <w:pStyle w:val="af4"/>
        <w:spacing w:after="0"/>
      </w:pPr>
    </w:p>
    <w:p w:rsidR="00A70628" w:rsidRDefault="00A7062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D7528"/>
    <w:rsid w:val="002E0A8A"/>
    <w:rsid w:val="002E5BF6"/>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85AAE"/>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67220"/>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84EC6"/>
    <w:rsid w:val="0069244B"/>
    <w:rsid w:val="006966B3"/>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25E5"/>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1010"/>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29C1"/>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0815"/>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77FA-B41F-401C-8F39-9A77485C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28</Pages>
  <Words>10298</Words>
  <Characters>58700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88</cp:revision>
  <cp:lastPrinted>2015-08-18T11:18:00Z</cp:lastPrinted>
  <dcterms:created xsi:type="dcterms:W3CDTF">2015-03-30T09:50:00Z</dcterms:created>
  <dcterms:modified xsi:type="dcterms:W3CDTF">2015-08-20T06:36:00Z</dcterms:modified>
</cp:coreProperties>
</file>