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41" w:rsidRDefault="004C5F41" w:rsidP="004C5F4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4C5F41" w:rsidRDefault="004C5F41" w:rsidP="004C5F4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C5F41" w:rsidRDefault="004C5F41" w:rsidP="004C5F4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C5F41" w:rsidRDefault="004C5F41" w:rsidP="004C5F4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C5F41" w:rsidRDefault="004C5F41" w:rsidP="004C5F4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«25» июня  2019 г.                                                                                      № 0187300005819000189-3</w:t>
      </w:r>
    </w:p>
    <w:p w:rsidR="004C5F41" w:rsidRDefault="004C5F41" w:rsidP="004C5F4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5F41" w:rsidRDefault="004C5F41" w:rsidP="004C5F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C5F41" w:rsidRDefault="004C5F41" w:rsidP="004C5F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C5F41" w:rsidRDefault="004C5F41" w:rsidP="004C5F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4C5F41" w:rsidRDefault="004C5F41" w:rsidP="004C5F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C5F41" w:rsidRDefault="004C5F41" w:rsidP="004C5F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C5F41" w:rsidRDefault="004C5F41" w:rsidP="004C5F4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Филиппова Марина Геннадьевна, главный эксперт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0187300005819000189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мытью окон и фасадов здания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0187300005819000189. 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193862200236886220100100400018122244.</w:t>
      </w:r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Ханты - Мансийский автономный округ - Югра, Тюменская область. </w:t>
      </w:r>
      <w:proofErr w:type="gramEnd"/>
    </w:p>
    <w:p w:rsidR="004C5F41" w:rsidRDefault="004C5F41" w:rsidP="004C5F4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18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4C5F41" w:rsidRDefault="004C5F41" w:rsidP="004C5F4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21.06.2019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4C5F41" w:rsidTr="004C5F4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Default="004C5F4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Default="004C5F4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C5F41" w:rsidTr="004C5F4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Pr="00350CB2" w:rsidRDefault="004C5F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50CB2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Pr="00350CB2" w:rsidRDefault="00350C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50CB2">
              <w:rPr>
                <w:rFonts w:ascii="PT Astra Serif" w:hAnsi="PT Astra Serif"/>
                <w:lang w:eastAsia="en-US"/>
              </w:rPr>
              <w:t>253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7E32B7" w:rsidRDefault="007E32B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Pr="007E32B7">
                    <w:rPr>
                      <w:rFonts w:ascii="Calibri" w:hAnsi="Calibri"/>
                    </w:rPr>
                    <w:t xml:space="preserve">Индивидуальный предприниматель </w:t>
                  </w:r>
                  <w:r w:rsidR="00350CB2" w:rsidRPr="007E32B7">
                    <w:rPr>
                      <w:rFonts w:ascii="Calibri" w:hAnsi="Calibri"/>
                    </w:rPr>
                    <w:t>МИХЕЕВ ВЛАДИМИР АЛЕКСАНДРОВИЧ</w:t>
                  </w:r>
                </w:p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24996.72</w:t>
                  </w:r>
                </w:p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862200450709</w:t>
                  </w:r>
                </w:p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/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АО ХАНТЫ-МАНСИЙСКИЙ АВТОНОМНЫЙ ОКРУГ - ЮГРА86, Г ЮГОРСК, УЛ</w:t>
                  </w:r>
                  <w:proofErr w:type="gramStart"/>
                  <w:r w:rsidRPr="00350CB2">
                    <w:rPr>
                      <w:rFonts w:ascii="Calibri" w:hAnsi="Calibri"/>
                    </w:rPr>
                    <w:t>.С</w:t>
                  </w:r>
                  <w:proofErr w:type="gramEnd"/>
                  <w:r w:rsidRPr="00350CB2">
                    <w:rPr>
                      <w:rFonts w:ascii="Calibri" w:hAnsi="Calibri"/>
                    </w:rPr>
                    <w:t>ВЕТЛАЯ, Д. 2</w:t>
                  </w:r>
                </w:p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79222233332</w:t>
                  </w:r>
                </w:p>
              </w:tc>
            </w:tr>
            <w:tr w:rsidR="00350CB2" w:rsidRPr="00350CB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МИХЕЕВ ВЛАДИМИР АЛЕКСАНДРОВИЧ</w:t>
                  </w:r>
                </w:p>
              </w:tc>
            </w:tr>
          </w:tbl>
          <w:p w:rsidR="004C5F41" w:rsidRPr="00350CB2" w:rsidRDefault="004C5F4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Pr="00350CB2" w:rsidRDefault="00350C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50CB2">
              <w:rPr>
                <w:rFonts w:ascii="Calibri" w:hAnsi="Calibri"/>
              </w:rPr>
              <w:t>24996.72</w:t>
            </w:r>
          </w:p>
        </w:tc>
      </w:tr>
      <w:tr w:rsidR="004C5F41" w:rsidTr="004C5F4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Pr="00350CB2" w:rsidRDefault="004C5F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50CB2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Pr="00350CB2" w:rsidRDefault="00350C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50CB2">
              <w:rPr>
                <w:rFonts w:ascii="PT Astra Serif" w:hAnsi="PT Astra Serif"/>
                <w:lang w:eastAsia="en-US"/>
              </w:rPr>
              <w:t>125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7E32B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Pr="007E32B7">
                    <w:rPr>
                      <w:rFonts w:ascii="Calibri" w:hAnsi="Calibri"/>
                    </w:rPr>
                    <w:t xml:space="preserve">Индивидуальный предприниматель </w:t>
                  </w:r>
                  <w:proofErr w:type="spellStart"/>
                  <w:r w:rsidR="00350CB2" w:rsidRPr="007E32B7">
                    <w:rPr>
                      <w:rFonts w:ascii="Calibri" w:hAnsi="Calibri"/>
                    </w:rPr>
                    <w:t>Бикбов</w:t>
                  </w:r>
                  <w:proofErr w:type="spellEnd"/>
                  <w:r w:rsidR="00350CB2" w:rsidRPr="007E32B7">
                    <w:rPr>
                      <w:rFonts w:ascii="Calibri" w:hAnsi="Calibri"/>
                    </w:rPr>
                    <w:t xml:space="preserve"> Алмаз </w:t>
                  </w:r>
                  <w:proofErr w:type="spellStart"/>
                  <w:r w:rsidR="00350CB2" w:rsidRPr="007E32B7">
                    <w:rPr>
                      <w:rFonts w:ascii="Calibri" w:hAnsi="Calibri"/>
                    </w:rPr>
                    <w:t>Асхатович</w:t>
                  </w:r>
                  <w:proofErr w:type="spellEnd"/>
                </w:p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25495.76</w:t>
                  </w:r>
                </w:p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183208504493</w:t>
                  </w:r>
                </w:p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/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 w:rsidRPr="00350CB2">
                    <w:rPr>
                      <w:rFonts w:ascii="Calibri" w:hAnsi="Calibri"/>
                    </w:rPr>
                    <w:t>РЕСП</w:t>
                  </w:r>
                  <w:proofErr w:type="gramEnd"/>
                  <w:r w:rsidRPr="00350CB2">
                    <w:rPr>
                      <w:rFonts w:ascii="Calibri" w:hAnsi="Calibri"/>
                    </w:rPr>
                    <w:t xml:space="preserve"> УДМУРТСКАЯ18, Г ИЖЕВСК</w:t>
                  </w:r>
                </w:p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50CB2">
                    <w:rPr>
                      <w:rFonts w:ascii="Calibri" w:hAnsi="Calibri"/>
                    </w:rPr>
                    <w:t>респ</w:t>
                  </w:r>
                  <w:proofErr w:type="spellEnd"/>
                  <w:proofErr w:type="gramEnd"/>
                  <w:r w:rsidRPr="00350CB2">
                    <w:rPr>
                      <w:rFonts w:ascii="Calibri" w:hAnsi="Calibri"/>
                    </w:rPr>
                    <w:t xml:space="preserve"> Удмуртская, г Ижевск, </w:t>
                  </w:r>
                  <w:proofErr w:type="spellStart"/>
                  <w:r w:rsidRPr="00350CB2">
                    <w:rPr>
                      <w:rFonts w:ascii="Calibri" w:hAnsi="Calibri"/>
                    </w:rPr>
                    <w:t>ул</w:t>
                  </w:r>
                  <w:proofErr w:type="spellEnd"/>
                  <w:r w:rsidRPr="00350CB2">
                    <w:rPr>
                      <w:rFonts w:ascii="Calibri" w:hAnsi="Calibri"/>
                    </w:rPr>
                    <w:t xml:space="preserve"> Ленинградская</w:t>
                  </w:r>
                </w:p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>7 9511930535</w:t>
                  </w:r>
                </w:p>
              </w:tc>
            </w:tr>
            <w:tr w:rsidR="00350CB2" w:rsidRPr="00350CB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50CB2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0CB2" w:rsidRPr="00350CB2" w:rsidRDefault="00350CB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350CB2">
                    <w:rPr>
                      <w:rFonts w:ascii="Calibri" w:hAnsi="Calibri"/>
                    </w:rPr>
                    <w:t>Бикбов</w:t>
                  </w:r>
                  <w:proofErr w:type="spellEnd"/>
                  <w:r w:rsidRPr="00350CB2">
                    <w:rPr>
                      <w:rFonts w:ascii="Calibri" w:hAnsi="Calibri"/>
                    </w:rPr>
                    <w:t xml:space="preserve"> Алмаз </w:t>
                  </w:r>
                  <w:proofErr w:type="spellStart"/>
                  <w:r w:rsidRPr="00350CB2">
                    <w:rPr>
                      <w:rFonts w:ascii="Calibri" w:hAnsi="Calibri"/>
                    </w:rPr>
                    <w:t>Асхатович</w:t>
                  </w:r>
                  <w:proofErr w:type="spellEnd"/>
                </w:p>
              </w:tc>
            </w:tr>
          </w:tbl>
          <w:p w:rsidR="004C5F41" w:rsidRPr="00350CB2" w:rsidRDefault="004C5F4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F41" w:rsidRPr="00350CB2" w:rsidRDefault="00350CB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350CB2">
              <w:rPr>
                <w:rFonts w:ascii="Calibri" w:hAnsi="Calibri"/>
              </w:rPr>
              <w:t>25495.76</w:t>
            </w:r>
          </w:p>
        </w:tc>
      </w:tr>
    </w:tbl>
    <w:p w:rsidR="004C5F41" w:rsidRPr="00350CB2" w:rsidRDefault="004C5F41" w:rsidP="00350CB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50CB2">
        <w:rPr>
          <w:rFonts w:ascii="PT Astra Serif" w:hAnsi="PT Astra Serif"/>
          <w:sz w:val="24"/>
          <w:szCs w:val="24"/>
        </w:rPr>
        <w:t xml:space="preserve">5. В результате рассмотрения вторых частей заявок </w:t>
      </w:r>
      <w:r w:rsidR="00350CB2" w:rsidRPr="00350CB2">
        <w:rPr>
          <w:rFonts w:ascii="PT Astra Serif" w:hAnsi="PT Astra Serif"/>
          <w:sz w:val="24"/>
          <w:szCs w:val="24"/>
        </w:rPr>
        <w:t>принято решение</w:t>
      </w:r>
      <w:r w:rsidRPr="00350CB2">
        <w:rPr>
          <w:rFonts w:ascii="PT Astra Serif" w:hAnsi="PT Astra Serif"/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4C5F41" w:rsidRPr="00350CB2" w:rsidRDefault="004C5F41" w:rsidP="004C5F4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50CB2">
        <w:rPr>
          <w:rFonts w:ascii="PT Astra Serif" w:hAnsi="PT Astra Serif"/>
          <w:sz w:val="24"/>
          <w:szCs w:val="24"/>
        </w:rPr>
        <w:t xml:space="preserve">- </w:t>
      </w:r>
      <w:r w:rsidR="007E32B7">
        <w:rPr>
          <w:rFonts w:ascii="PT Astra Serif" w:hAnsi="PT Astra Serif"/>
          <w:sz w:val="24"/>
          <w:szCs w:val="24"/>
        </w:rPr>
        <w:t xml:space="preserve">Индивидуальный предприниматель </w:t>
      </w:r>
      <w:r w:rsidR="00350CB2" w:rsidRPr="00350CB2">
        <w:rPr>
          <w:rFonts w:ascii="PT Astra Serif" w:hAnsi="PT Astra Serif"/>
          <w:sz w:val="24"/>
          <w:szCs w:val="24"/>
        </w:rPr>
        <w:t>МИХЕЕВ ВЛАДИМИР АЛЕКСАНДРОВИЧ</w:t>
      </w:r>
      <w:r w:rsidRPr="00350CB2">
        <w:rPr>
          <w:rFonts w:ascii="PT Astra Serif" w:hAnsi="PT Astra Serif"/>
          <w:sz w:val="24"/>
          <w:szCs w:val="24"/>
        </w:rPr>
        <w:t>;</w:t>
      </w:r>
    </w:p>
    <w:p w:rsidR="004C5F41" w:rsidRDefault="004C5F41" w:rsidP="00350CB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50CB2">
        <w:rPr>
          <w:rFonts w:ascii="PT Astra Serif" w:hAnsi="PT Astra Serif"/>
          <w:sz w:val="24"/>
          <w:szCs w:val="24"/>
        </w:rPr>
        <w:t xml:space="preserve">- </w:t>
      </w:r>
      <w:r w:rsidR="007E32B7">
        <w:rPr>
          <w:rFonts w:ascii="PT Astra Serif" w:hAnsi="PT Astra Serif"/>
          <w:sz w:val="24"/>
          <w:szCs w:val="24"/>
        </w:rPr>
        <w:t>Индивидуальный предприниматель</w:t>
      </w:r>
      <w:r w:rsidR="007E32B7" w:rsidRPr="00350CB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50CB2" w:rsidRPr="00350CB2">
        <w:rPr>
          <w:rFonts w:ascii="PT Astra Serif" w:hAnsi="PT Astra Serif"/>
          <w:sz w:val="24"/>
          <w:szCs w:val="24"/>
        </w:rPr>
        <w:t>Бикбов</w:t>
      </w:r>
      <w:proofErr w:type="spellEnd"/>
      <w:r w:rsidR="00350CB2" w:rsidRPr="00350CB2">
        <w:rPr>
          <w:rFonts w:ascii="PT Astra Serif" w:hAnsi="PT Astra Serif"/>
          <w:sz w:val="24"/>
          <w:szCs w:val="24"/>
        </w:rPr>
        <w:t xml:space="preserve"> Алмаз </w:t>
      </w:r>
      <w:proofErr w:type="spellStart"/>
      <w:r w:rsidR="00350CB2" w:rsidRPr="00350CB2">
        <w:rPr>
          <w:rFonts w:ascii="PT Astra Serif" w:hAnsi="PT Astra Serif"/>
          <w:sz w:val="24"/>
          <w:szCs w:val="24"/>
        </w:rPr>
        <w:t>Асхатович</w:t>
      </w:r>
      <w:proofErr w:type="spellEnd"/>
      <w:r w:rsidRPr="00350CB2">
        <w:rPr>
          <w:rFonts w:ascii="PT Astra Serif" w:hAnsi="PT Astra Serif"/>
          <w:sz w:val="24"/>
          <w:szCs w:val="24"/>
        </w:rPr>
        <w:t>.</w:t>
      </w:r>
    </w:p>
    <w:p w:rsidR="004C5F41" w:rsidRDefault="004C5F41" w:rsidP="004C5F4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21.06.2019 победителем аукциона в электронной форме признается </w:t>
      </w:r>
      <w:r w:rsidR="005E77FD">
        <w:rPr>
          <w:rFonts w:ascii="PT Astra Serif" w:hAnsi="PT Astra Serif"/>
          <w:sz w:val="24"/>
          <w:szCs w:val="24"/>
        </w:rPr>
        <w:t>и</w:t>
      </w:r>
      <w:r w:rsidR="007E32B7">
        <w:rPr>
          <w:rFonts w:ascii="PT Astra Serif" w:hAnsi="PT Astra Serif"/>
          <w:sz w:val="24"/>
          <w:szCs w:val="24"/>
        </w:rPr>
        <w:t>ндивидуальный предприниматель</w:t>
      </w:r>
      <w:r w:rsidR="007E32B7" w:rsidRPr="00350CB2">
        <w:rPr>
          <w:rFonts w:ascii="PT Astra Serif" w:hAnsi="PT Astra Serif"/>
          <w:sz w:val="24"/>
          <w:szCs w:val="24"/>
        </w:rPr>
        <w:t xml:space="preserve"> </w:t>
      </w:r>
      <w:r w:rsidR="00350CB2" w:rsidRPr="00350CB2">
        <w:rPr>
          <w:rFonts w:ascii="PT Astra Serif" w:hAnsi="PT Astra Serif"/>
          <w:sz w:val="24"/>
          <w:szCs w:val="24"/>
        </w:rPr>
        <w:t>МИХЕЕВ ВЛАДИМИР АЛЕКСАНДРОВИЧ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350CB2" w:rsidRPr="00350CB2">
        <w:rPr>
          <w:rFonts w:ascii="PT Astra Serif" w:hAnsi="PT Astra Serif"/>
          <w:sz w:val="24"/>
          <w:szCs w:val="24"/>
        </w:rPr>
        <w:t>24996.72</w:t>
      </w:r>
      <w:r w:rsidR="00350C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4C5F41" w:rsidRDefault="004C5F41" w:rsidP="004C5F4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F41" w:rsidRDefault="004C5F41" w:rsidP="004C5F4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C5F41" w:rsidRDefault="004C5F41" w:rsidP="004C5F4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4C5F41" w:rsidRDefault="004C5F41" w:rsidP="004C5F4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C5F41" w:rsidRDefault="004C5F41" w:rsidP="004C5F4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4C5F41" w:rsidTr="004C5F4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41" w:rsidRDefault="004C5F4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41" w:rsidRDefault="004C5F41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4C5F41" w:rsidRDefault="004C5F41" w:rsidP="004C5F41">
      <w:pPr>
        <w:jc w:val="both"/>
        <w:rPr>
          <w:rFonts w:ascii="PT Serif" w:hAnsi="PT Serif"/>
          <w:b/>
          <w:sz w:val="24"/>
          <w:szCs w:val="24"/>
        </w:rPr>
      </w:pPr>
    </w:p>
    <w:p w:rsidR="004C5F41" w:rsidRDefault="004C5F41" w:rsidP="004C5F4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4C5F41" w:rsidRDefault="004C5F41" w:rsidP="004C5F4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4C5F41" w:rsidRDefault="004C5F41" w:rsidP="004C5F4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4C5F41" w:rsidRDefault="004C5F41" w:rsidP="004C5F41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4C5F41" w:rsidRDefault="004C5F41" w:rsidP="004C5F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4C5F41" w:rsidRDefault="004C5F41" w:rsidP="004C5F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4C5F41" w:rsidRDefault="004C5F41" w:rsidP="004C5F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4C5F41" w:rsidRDefault="004C5F41" w:rsidP="004C5F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4C5F41" w:rsidRDefault="004C5F41" w:rsidP="004C5F4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4C5F41" w:rsidRDefault="004C5F41" w:rsidP="004C5F4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4C5F41" w:rsidRDefault="004C5F41" w:rsidP="004C5F41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М. Г. Филиппова</w:t>
      </w:r>
    </w:p>
    <w:p w:rsidR="003E2CF3" w:rsidRDefault="003E2CF3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/>
    <w:p w:rsidR="005E77FD" w:rsidRDefault="005E77FD" w:rsidP="005E77FD">
      <w:pPr>
        <w:suppressAutoHyphens/>
        <w:ind w:right="-66"/>
        <w:jc w:val="right"/>
        <w:rPr>
          <w:kern w:val="2"/>
          <w:sz w:val="24"/>
          <w:szCs w:val="24"/>
          <w:lang w:eastAsia="ar-SA"/>
        </w:rPr>
        <w:sectPr w:rsidR="005E77FD" w:rsidSect="007E32B7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5E77FD" w:rsidRDefault="005E77FD" w:rsidP="005E77FD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5E77FD" w:rsidRDefault="005E77FD" w:rsidP="005E77FD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5E77FD" w:rsidRDefault="005E77FD" w:rsidP="005E77FD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от «25» июня 2019 г. № </w:t>
      </w:r>
      <w:r>
        <w:rPr>
          <w:kern w:val="2"/>
          <w:u w:val="single"/>
          <w:lang w:eastAsia="ar-SA"/>
        </w:rPr>
        <w:t>0187300005819000189-3</w:t>
      </w:r>
    </w:p>
    <w:p w:rsidR="005E77FD" w:rsidRDefault="005E77FD" w:rsidP="005E77FD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 аукциона</w:t>
      </w:r>
    </w:p>
    <w:p w:rsidR="005E77FD" w:rsidRDefault="005E77FD" w:rsidP="005E77FD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мытью окон и фасадов здания администрации города </w:t>
      </w:r>
      <w:proofErr w:type="spellStart"/>
      <w:r>
        <w:rPr>
          <w:kern w:val="2"/>
          <w:lang w:eastAsia="ar-SA"/>
        </w:rPr>
        <w:t>Югорска</w:t>
      </w:r>
      <w:proofErr w:type="spellEnd"/>
    </w:p>
    <w:p w:rsidR="005E77FD" w:rsidRDefault="005E77FD" w:rsidP="005E77FD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 xml:space="preserve">Заказчик: Администрация города </w:t>
      </w:r>
      <w:proofErr w:type="spellStart"/>
      <w:r>
        <w:rPr>
          <w:kern w:val="2"/>
          <w:lang w:eastAsia="ar-SA"/>
        </w:rPr>
        <w:t>Югорска</w:t>
      </w:r>
      <w:proofErr w:type="spellEnd"/>
    </w:p>
    <w:tbl>
      <w:tblPr>
        <w:tblW w:w="1686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  <w:gridCol w:w="1418"/>
        <w:gridCol w:w="2126"/>
        <w:gridCol w:w="2126"/>
        <w:gridCol w:w="709"/>
      </w:tblGrid>
      <w:tr w:rsidR="005E77FD" w:rsidTr="005E77FD">
        <w:trPr>
          <w:gridAfter w:val="1"/>
          <w:wAfter w:w="709" w:type="dxa"/>
          <w:trHeight w:val="331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125</w:t>
            </w:r>
          </w:p>
        </w:tc>
      </w:tr>
      <w:tr w:rsidR="005E77FD" w:rsidTr="005E77FD">
        <w:trPr>
          <w:gridAfter w:val="1"/>
          <w:wAfter w:w="709" w:type="dxa"/>
          <w:trHeight w:val="6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Индивидуальный предприниматель Михеев Владимир Александрович,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Бикбоев</w:t>
            </w:r>
            <w:proofErr w:type="spell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Алмаз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Асхатович</w:t>
            </w:r>
            <w:proofErr w:type="spell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,</w:t>
            </w:r>
          </w:p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г. Ижевск</w:t>
            </w:r>
          </w:p>
        </w:tc>
      </w:tr>
      <w:tr w:rsidR="005E77FD" w:rsidTr="005E77FD">
        <w:trPr>
          <w:gridAfter w:val="1"/>
          <w:wAfter w:w="709" w:type="dxa"/>
          <w:trHeight w:val="7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3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115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2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6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6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111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5E77FD" w:rsidTr="005E77FD">
        <w:trPr>
          <w:gridAfter w:val="1"/>
          <w:wAfter w:w="709" w:type="dxa"/>
          <w:trHeight w:val="77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FD" w:rsidRDefault="005E77FD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не в полном объеме</w:t>
            </w:r>
          </w:p>
        </w:tc>
      </w:tr>
      <w:tr w:rsidR="005E77FD" w:rsidTr="005E77FD">
        <w:trPr>
          <w:gridAfter w:val="1"/>
          <w:wAfter w:w="709" w:type="dxa"/>
          <w:trHeight w:val="6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spacing w:after="200" w:line="276" w:lineRule="auto"/>
              <w:ind w:left="105" w:right="113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8. </w:t>
            </w:r>
            <w:r>
              <w:rPr>
                <w:color w:val="000000"/>
                <w:kern w:val="2"/>
                <w:sz w:val="18"/>
                <w:szCs w:val="18"/>
              </w:rPr>
              <w:t>Принадлежность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napToGrid w:val="0"/>
              <w:spacing w:after="200" w:line="276" w:lineRule="auto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Информация не продекларирована</w:t>
            </w:r>
          </w:p>
        </w:tc>
      </w:tr>
      <w:tr w:rsidR="005E77FD" w:rsidTr="005E77FD">
        <w:trPr>
          <w:gridAfter w:val="1"/>
          <w:wAfter w:w="709" w:type="dxa"/>
          <w:trHeight w:val="5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9. Принадлежность участника  закупки к офшорным компаниям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5E77FD" w:rsidTr="005E77FD">
        <w:trPr>
          <w:trHeight w:val="308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10.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52 384 (пятьдесят две тысячи триста восемьдесят четыре) рубля 00 копеек.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FD" w:rsidRDefault="005E77FD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FD" w:rsidRDefault="005E77FD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5E77FD" w:rsidRDefault="005E77FD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5E77FD" w:rsidTr="005E77FD">
        <w:trPr>
          <w:trHeight w:val="308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11. Предложенная цена контракта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24 996,72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25 495,76</w:t>
            </w:r>
          </w:p>
        </w:tc>
        <w:tc>
          <w:tcPr>
            <w:tcW w:w="709" w:type="dxa"/>
          </w:tcPr>
          <w:p w:rsidR="005E77FD" w:rsidRDefault="005E77FD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5E77FD" w:rsidTr="005E77FD">
        <w:trPr>
          <w:trHeight w:val="196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12. Номер по ранжированию после завершения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FD" w:rsidRDefault="005E77FD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9" w:type="dxa"/>
          </w:tcPr>
          <w:p w:rsidR="005E77FD" w:rsidRDefault="005E77FD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</w:tr>
    </w:tbl>
    <w:p w:rsidR="005E77FD" w:rsidRDefault="005E77FD">
      <w:pPr>
        <w:sectPr w:rsidR="005E77FD" w:rsidSect="005E77FD">
          <w:pgSz w:w="16838" w:h="11906" w:orient="landscape"/>
          <w:pgMar w:top="709" w:right="425" w:bottom="851" w:left="284" w:header="709" w:footer="709" w:gutter="0"/>
          <w:cols w:space="708"/>
          <w:docGrid w:linePitch="360"/>
        </w:sectPr>
      </w:pPr>
    </w:p>
    <w:p w:rsidR="005E77FD" w:rsidRDefault="005E77FD"/>
    <w:sectPr w:rsidR="005E77FD" w:rsidSect="007E32B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9A"/>
    <w:rsid w:val="00350CB2"/>
    <w:rsid w:val="003E2CF3"/>
    <w:rsid w:val="004C5F41"/>
    <w:rsid w:val="005E77FD"/>
    <w:rsid w:val="007E32B7"/>
    <w:rsid w:val="008104B2"/>
    <w:rsid w:val="00823F29"/>
    <w:rsid w:val="00AC0F9A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F4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C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C5F41"/>
    <w:pPr>
      <w:ind w:left="720"/>
      <w:contextualSpacing/>
    </w:pPr>
  </w:style>
  <w:style w:type="table" w:styleId="a6">
    <w:name w:val="Table Grid"/>
    <w:basedOn w:val="a1"/>
    <w:uiPriority w:val="59"/>
    <w:rsid w:val="005E77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7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F4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C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C5F41"/>
    <w:pPr>
      <w:ind w:left="720"/>
      <w:contextualSpacing/>
    </w:pPr>
  </w:style>
  <w:style w:type="table" w:styleId="a6">
    <w:name w:val="Table Grid"/>
    <w:basedOn w:val="a1"/>
    <w:uiPriority w:val="59"/>
    <w:rsid w:val="005E77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7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2019-06-24T07:59:00Z</cp:lastPrinted>
  <dcterms:created xsi:type="dcterms:W3CDTF">2019-06-21T07:34:00Z</dcterms:created>
  <dcterms:modified xsi:type="dcterms:W3CDTF">2019-06-24T07:59:00Z</dcterms:modified>
</cp:coreProperties>
</file>