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8F6" w:rsidRDefault="002228F6" w:rsidP="002228F6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– город </w:t>
      </w:r>
      <w:proofErr w:type="spellStart"/>
      <w:r>
        <w:rPr>
          <w:b/>
          <w:sz w:val="24"/>
        </w:rPr>
        <w:t>Югорск</w:t>
      </w:r>
      <w:proofErr w:type="spellEnd"/>
    </w:p>
    <w:p w:rsidR="002228F6" w:rsidRDefault="002228F6" w:rsidP="002228F6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 xml:space="preserve">Администрация города </w:t>
      </w:r>
      <w:proofErr w:type="spellStart"/>
      <w:r>
        <w:rPr>
          <w:rFonts w:ascii="PT Astra Serif" w:hAnsi="PT Astra Serif"/>
          <w:b/>
          <w:sz w:val="24"/>
        </w:rPr>
        <w:t>Югорска</w:t>
      </w:r>
      <w:proofErr w:type="spellEnd"/>
    </w:p>
    <w:p w:rsidR="002228F6" w:rsidRDefault="002228F6" w:rsidP="002228F6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ПРОТОКОЛ</w:t>
      </w:r>
    </w:p>
    <w:p w:rsidR="002228F6" w:rsidRPr="002228F6" w:rsidRDefault="002228F6" w:rsidP="002228F6">
      <w:pPr>
        <w:jc w:val="center"/>
        <w:rPr>
          <w:rFonts w:ascii="PT Astra Serif" w:hAnsi="PT Astra Serif"/>
          <w:b/>
          <w:sz w:val="24"/>
        </w:rPr>
      </w:pPr>
      <w:r>
        <w:rPr>
          <w:rFonts w:ascii="PT Astra Serif" w:hAnsi="PT Astra Serif"/>
          <w:b/>
          <w:sz w:val="24"/>
        </w:rPr>
        <w:t>подведения итогов аукциона в электронной форме</w:t>
      </w:r>
    </w:p>
    <w:p w:rsidR="002228F6" w:rsidRDefault="002228F6" w:rsidP="002228F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12 декабря  2019 г.  </w:t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                                                                             № </w:t>
      </w:r>
      <w:hyperlink r:id="rId6" w:history="1">
        <w:r>
          <w:rPr>
            <w:rStyle w:val="a3"/>
            <w:color w:val="auto"/>
            <w:sz w:val="24"/>
            <w:szCs w:val="24"/>
            <w:u w:val="none"/>
          </w:rPr>
          <w:t>0187300005819000</w:t>
        </w:r>
      </w:hyperlink>
      <w:r>
        <w:rPr>
          <w:rFonts w:ascii="PT Astra Serif" w:hAnsi="PT Astra Serif"/>
          <w:sz w:val="24"/>
          <w:szCs w:val="24"/>
        </w:rPr>
        <w:t>387</w:t>
      </w:r>
      <w:r>
        <w:rPr>
          <w:rFonts w:ascii="PT Astra Serif" w:hAnsi="PT Astra Serif"/>
          <w:sz w:val="24"/>
          <w:szCs w:val="24"/>
        </w:rPr>
        <w:t>-3</w:t>
      </w:r>
    </w:p>
    <w:p w:rsidR="002228F6" w:rsidRDefault="002228F6" w:rsidP="002228F6">
      <w:pPr>
        <w:rPr>
          <w:rFonts w:ascii="PT Astra Serif" w:hAnsi="PT Astra Serif"/>
          <w:sz w:val="24"/>
          <w:szCs w:val="24"/>
        </w:rPr>
      </w:pPr>
    </w:p>
    <w:p w:rsidR="002228F6" w:rsidRDefault="002228F6" w:rsidP="002228F6">
      <w:pPr>
        <w:tabs>
          <w:tab w:val="left" w:pos="0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2228F6" w:rsidRDefault="002228F6" w:rsidP="002228F6">
      <w:pPr>
        <w:tabs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2228F6" w:rsidRDefault="002228F6" w:rsidP="002228F6">
      <w:pPr>
        <w:numPr>
          <w:ilvl w:val="0"/>
          <w:numId w:val="1"/>
        </w:numPr>
        <w:tabs>
          <w:tab w:val="left" w:pos="-567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С. Д.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Голин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 – председатель комиссии, первый заместитель главы администрации города -  директор  департамента муниципальной собственности и градостроительства;</w:t>
      </w:r>
    </w:p>
    <w:p w:rsidR="002228F6" w:rsidRDefault="002228F6" w:rsidP="002228F6">
      <w:pPr>
        <w:pStyle w:val="a5"/>
        <w:tabs>
          <w:tab w:val="left" w:pos="-567"/>
          <w:tab w:val="left" w:pos="0"/>
          <w:tab w:val="left" w:pos="426"/>
          <w:tab w:val="left" w:pos="851"/>
        </w:tabs>
        <w:ind w:left="0" w:right="-1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комиссии:</w:t>
      </w:r>
    </w:p>
    <w:p w:rsidR="002228F6" w:rsidRDefault="002228F6" w:rsidP="002228F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В.К. </w:t>
      </w:r>
      <w:proofErr w:type="spellStart"/>
      <w:r>
        <w:rPr>
          <w:rFonts w:ascii="PT Astra Serif" w:hAnsi="PT Astra Serif"/>
          <w:sz w:val="24"/>
          <w:szCs w:val="24"/>
        </w:rPr>
        <w:t>Бандурин</w:t>
      </w:r>
      <w:proofErr w:type="spellEnd"/>
      <w:r>
        <w:rPr>
          <w:rFonts w:ascii="PT Astra Serif" w:hAnsi="PT Astra Serif"/>
          <w:sz w:val="24"/>
          <w:szCs w:val="24"/>
        </w:rPr>
        <w:t xml:space="preserve">  - заместитель главы города - директор  департамента </w:t>
      </w:r>
      <w:proofErr w:type="spellStart"/>
      <w:r>
        <w:rPr>
          <w:rFonts w:ascii="PT Astra Serif" w:hAnsi="PT Astra Serif"/>
          <w:sz w:val="24"/>
          <w:szCs w:val="24"/>
        </w:rPr>
        <w:t>жилищно</w:t>
      </w:r>
      <w:proofErr w:type="spellEnd"/>
      <w:r>
        <w:rPr>
          <w:rFonts w:ascii="PT Astra Serif" w:hAnsi="PT Astra Serif"/>
          <w:sz w:val="24"/>
          <w:szCs w:val="24"/>
        </w:rPr>
        <w:t xml:space="preserve"> - коммунального и строительного комплекса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228F6" w:rsidRDefault="002228F6" w:rsidP="002228F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В.А. </w:t>
      </w:r>
      <w:proofErr w:type="spellStart"/>
      <w:r>
        <w:rPr>
          <w:rFonts w:ascii="PT Astra Serif" w:hAnsi="PT Astra Serif"/>
          <w:sz w:val="24"/>
          <w:szCs w:val="24"/>
        </w:rPr>
        <w:t>Климин</w:t>
      </w:r>
      <w:proofErr w:type="spellEnd"/>
      <w:r>
        <w:rPr>
          <w:rFonts w:ascii="PT Astra Serif" w:hAnsi="PT Astra Serif"/>
          <w:sz w:val="24"/>
          <w:szCs w:val="24"/>
        </w:rPr>
        <w:t xml:space="preserve"> – председатель Думы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228F6" w:rsidRDefault="002228F6" w:rsidP="002228F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Н.А. Морозова – советник руководителя;</w:t>
      </w:r>
    </w:p>
    <w:p w:rsidR="002228F6" w:rsidRDefault="002228F6" w:rsidP="002228F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  <w:r>
        <w:rPr>
          <w:rFonts w:ascii="PT Astra Serif" w:hAnsi="PT Astra Serif"/>
          <w:sz w:val="24"/>
          <w:szCs w:val="24"/>
        </w:rPr>
        <w:t xml:space="preserve"> - заместитель главы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228F6" w:rsidRDefault="002228F6" w:rsidP="002228F6">
      <w:pPr>
        <w:pStyle w:val="a5"/>
        <w:widowControl/>
        <w:numPr>
          <w:ilvl w:val="0"/>
          <w:numId w:val="1"/>
        </w:numPr>
        <w:tabs>
          <w:tab w:val="left" w:pos="-567"/>
          <w:tab w:val="left" w:pos="-142"/>
          <w:tab w:val="left" w:pos="0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2228F6" w:rsidRDefault="002228F6" w:rsidP="002228F6">
      <w:pPr>
        <w:pStyle w:val="a5"/>
        <w:widowControl/>
        <w:numPr>
          <w:ilvl w:val="0"/>
          <w:numId w:val="1"/>
        </w:numPr>
        <w:tabs>
          <w:tab w:val="left" w:pos="-567"/>
          <w:tab w:val="left" w:pos="0"/>
          <w:tab w:val="left" w:pos="142"/>
          <w:tab w:val="left" w:pos="426"/>
        </w:tabs>
        <w:ind w:left="0" w:right="142" w:firstLine="0"/>
        <w:jc w:val="both"/>
        <w:rPr>
          <w:rFonts w:ascii="PT Astra Serif" w:hAnsi="PT Astra Serif"/>
          <w:sz w:val="24"/>
          <w:szCs w:val="24"/>
          <w:lang w:eastAsia="ru-RU"/>
        </w:rPr>
      </w:pPr>
      <w:r>
        <w:rPr>
          <w:rFonts w:ascii="PT Astra Serif" w:hAnsi="PT Astra Serif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</w:t>
      </w:r>
      <w:r>
        <w:rPr>
          <w:rFonts w:ascii="PT Astra Serif" w:hAnsi="PT Astra Serif"/>
          <w:sz w:val="24"/>
          <w:szCs w:val="24"/>
          <w:lang w:eastAsia="ru-RU"/>
        </w:rPr>
        <w:t xml:space="preserve">проектного управления администрации города </w:t>
      </w:r>
      <w:proofErr w:type="spellStart"/>
      <w:r>
        <w:rPr>
          <w:rFonts w:ascii="PT Astra Serif" w:hAnsi="PT Astra Serif"/>
          <w:sz w:val="24"/>
          <w:szCs w:val="24"/>
          <w:lang w:eastAsia="ru-RU"/>
        </w:rPr>
        <w:t>Югорска</w:t>
      </w:r>
      <w:proofErr w:type="spellEnd"/>
    </w:p>
    <w:p w:rsidR="002228F6" w:rsidRDefault="002228F6" w:rsidP="002228F6">
      <w:pPr>
        <w:pStyle w:val="a5"/>
        <w:tabs>
          <w:tab w:val="left" w:pos="-567"/>
          <w:tab w:val="left" w:pos="0"/>
          <w:tab w:val="left" w:pos="142"/>
          <w:tab w:val="left" w:pos="426"/>
        </w:tabs>
        <w:ind w:left="0" w:right="142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7 членов комиссии из 8</w:t>
      </w:r>
      <w:r>
        <w:rPr>
          <w:rFonts w:ascii="PT Astra Serif" w:hAnsi="PT Astra Serif"/>
          <w:noProof/>
          <w:sz w:val="24"/>
          <w:szCs w:val="24"/>
        </w:rPr>
        <w:t>.</w:t>
      </w:r>
    </w:p>
    <w:p w:rsidR="002228F6" w:rsidRDefault="002228F6" w:rsidP="002228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</w:t>
      </w:r>
      <w:r>
        <w:rPr>
          <w:rFonts w:ascii="PT Astra Serif" w:hAnsi="PT Astra Serif"/>
          <w:sz w:val="24"/>
          <w:szCs w:val="24"/>
        </w:rPr>
        <w:t>заказчика: Филиппова Марина Геннадьевна, специалист-эксперт муниципального казенного учреждения «Служба обеспечения органов местного самоуправления».</w:t>
      </w:r>
    </w:p>
    <w:p w:rsidR="002228F6" w:rsidRDefault="002228F6" w:rsidP="002228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1. Наименование аукциона: аукцион в электронной форме № 0187300005819000387 среди субъектов малого предпринимательства и социально ориентированных некоммерческих организации на право заключения муниципального контракта на оказание услуг по техническому обслуживанию систем кондиционирования.</w:t>
      </w:r>
    </w:p>
    <w:p w:rsidR="002228F6" w:rsidRDefault="002228F6" w:rsidP="002228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–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0187300005819000387. </w:t>
      </w:r>
      <w:bookmarkStart w:id="0" w:name="_GoBack"/>
      <w:bookmarkEnd w:id="0"/>
    </w:p>
    <w:p w:rsidR="002228F6" w:rsidRDefault="002228F6" w:rsidP="002228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193862200236886220100101510013312244.</w:t>
      </w:r>
    </w:p>
    <w:p w:rsidR="002228F6" w:rsidRDefault="002228F6" w:rsidP="002228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Заказчик: Администрация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 xml:space="preserve">. Почтовый адрес: 628260,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11, Ханты-Мансийский  автономный  округ-Югра, Тюменская область.</w:t>
      </w:r>
    </w:p>
    <w:p w:rsidR="002228F6" w:rsidRDefault="002228F6" w:rsidP="002228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10 декабря 2019 года, по адресу: ул. 40 лет Победы, 11,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Ханты-Мансийский  автономный</w:t>
      </w:r>
      <w:r>
        <w:rPr>
          <w:rFonts w:ascii="PT Astra Serif" w:hAnsi="PT Astra Serif"/>
          <w:sz w:val="24"/>
          <w:szCs w:val="24"/>
        </w:rPr>
        <w:t xml:space="preserve">  округ-Югра, Тюменская область</w:t>
      </w:r>
      <w:r>
        <w:rPr>
          <w:rFonts w:ascii="PT Astra Serif" w:hAnsi="PT Astra Serif"/>
          <w:sz w:val="24"/>
          <w:szCs w:val="24"/>
        </w:rPr>
        <w:t>.</w:t>
      </w:r>
    </w:p>
    <w:p w:rsidR="002228F6" w:rsidRDefault="002228F6" w:rsidP="002228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На основании протокола проведения аукциона в электронной форме от 11.12.2019 комиссией были рассмотрены вторые части десяти заявок участников аукциона в электронной форме, направленных оператором электронной площадки по результатам ранжирования: </w:t>
      </w:r>
    </w:p>
    <w:tbl>
      <w:tblPr>
        <w:tblW w:w="110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2"/>
        <w:gridCol w:w="1134"/>
        <w:gridCol w:w="7655"/>
        <w:gridCol w:w="1275"/>
      </w:tblGrid>
      <w:tr w:rsidR="002228F6" w:rsidTr="002228F6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8F6" w:rsidRDefault="002228F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Порядковый номер по ранжированию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8F6" w:rsidRDefault="002228F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Идентификационный  номер заявки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8F6" w:rsidRDefault="002228F6">
            <w:pPr>
              <w:ind w:firstLine="175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gramStart"/>
            <w:r>
              <w:rPr>
                <w:rFonts w:ascii="PT Astra Serif" w:hAnsi="PT Astra Serif"/>
                <w:sz w:val="16"/>
                <w:szCs w:val="16"/>
              </w:rPr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8F6" w:rsidRDefault="002228F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Предложение участника аукциона о цене контракта, рублей</w:t>
            </w:r>
          </w:p>
        </w:tc>
      </w:tr>
      <w:tr w:rsidR="002228F6" w:rsidTr="002228F6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8F6" w:rsidRDefault="002228F6">
            <w:pPr>
              <w:spacing w:line="276" w:lineRule="auto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8F6" w:rsidRDefault="002228F6">
            <w:pPr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333"/>
              <w:gridCol w:w="5096"/>
            </w:tblGrid>
            <w:tr w:rsidR="002228F6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Pr="002228F6" w:rsidRDefault="002228F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Default="002228F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Индивидуальный предприниматель</w:t>
                  </w:r>
                </w:p>
                <w:p w:rsidR="002228F6" w:rsidRPr="002228F6" w:rsidRDefault="002228F6">
                  <w:pPr>
                    <w:rPr>
                      <w:rFonts w:ascii="Calibri" w:hAnsi="Calibri"/>
                    </w:rPr>
                  </w:pPr>
                  <w:r w:rsidRPr="002228F6">
                    <w:rPr>
                      <w:rFonts w:ascii="Calibri" w:hAnsi="Calibri"/>
                    </w:rPr>
                    <w:t>ЛЯМИН ЭДУАРД ВЛАДИМИРОВИЧ</w:t>
                  </w:r>
                </w:p>
              </w:tc>
            </w:tr>
            <w:tr w:rsidR="002228F6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Pr="002228F6" w:rsidRDefault="002228F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Pr="002228F6" w:rsidRDefault="002228F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12.02.2019</w:t>
                  </w:r>
                </w:p>
              </w:tc>
            </w:tr>
            <w:tr w:rsidR="002228F6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Pr="002228F6" w:rsidRDefault="002228F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Pr="002228F6" w:rsidRDefault="002228F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35013.31</w:t>
                  </w:r>
                </w:p>
              </w:tc>
            </w:tr>
            <w:tr w:rsidR="002228F6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Pr="002228F6" w:rsidRDefault="002228F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Pr="002228F6" w:rsidRDefault="002228F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592106900207</w:t>
                  </w:r>
                </w:p>
              </w:tc>
            </w:tr>
            <w:tr w:rsidR="002228F6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Pr="002228F6" w:rsidRDefault="002228F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Pr="002228F6" w:rsidRDefault="002228F6">
                  <w:pPr>
                    <w:rPr>
                      <w:rFonts w:ascii="Calibri" w:hAnsi="Calibri"/>
                    </w:rPr>
                  </w:pPr>
                </w:p>
              </w:tc>
            </w:tr>
            <w:tr w:rsidR="002228F6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Pr="002228F6" w:rsidRDefault="002228F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Паспортные данные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Pr="002228F6" w:rsidRDefault="002228F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Серия: 5707 Номер: 165470 Выдан: 13.02.2008 ОТДЕЛЕНИЕМ УФМС РОССИИ ПО ПЕРМСКОМУ КРАЮ В ГОРОДЕ ЧУСОВОМ подразделение 590-058</w:t>
                  </w:r>
                </w:p>
              </w:tc>
            </w:tr>
            <w:tr w:rsidR="002228F6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Pr="002228F6" w:rsidRDefault="002228F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Pr="002228F6" w:rsidRDefault="002228F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АО ХАНТЫ-МАНСИЙСКИЙ АВТОНОМНЫЙ ОКРУГ - ЮГРА86, Г ЮГОРСК,</w:t>
                  </w:r>
                </w:p>
              </w:tc>
            </w:tr>
            <w:tr w:rsidR="002228F6">
              <w:tc>
                <w:tcPr>
                  <w:tcW w:w="157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Pr="002228F6" w:rsidRDefault="002228F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43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Pr="002228F6" w:rsidRDefault="002228F6">
                  <w:pPr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 xml:space="preserve">АО ХАНТЫ-МАНСИЙСКИЙ АВТОНОМНЫЙ ОКРУГ - ЮГРА86, Г ЮГОРСК, </w:t>
                  </w:r>
                  <w:proofErr w:type="gramStart"/>
                  <w:r>
                    <w:rPr>
                      <w:rFonts w:ascii="Calibri" w:hAnsi="Calibri"/>
                    </w:rPr>
                    <w:t>ТАЕЖНАЯ</w:t>
                  </w:r>
                  <w:proofErr w:type="gramEnd"/>
                  <w:r>
                    <w:rPr>
                      <w:rFonts w:ascii="Calibri" w:hAnsi="Calibri"/>
                    </w:rPr>
                    <w:t xml:space="preserve"> 16/1, 19</w:t>
                  </w:r>
                </w:p>
              </w:tc>
            </w:tr>
          </w:tbl>
          <w:p w:rsidR="002228F6" w:rsidRDefault="002228F6">
            <w:pPr>
              <w:jc w:val="both"/>
              <w:rPr>
                <w:rStyle w:val="textspanview"/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8F6" w:rsidRDefault="002228F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Calibri" w:hAnsi="Calibri"/>
              </w:rPr>
              <w:t>35013.31</w:t>
            </w:r>
          </w:p>
        </w:tc>
      </w:tr>
      <w:tr w:rsidR="002228F6" w:rsidTr="002228F6">
        <w:trPr>
          <w:cantSplit/>
          <w:trHeight w:val="284"/>
        </w:trPr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8F6" w:rsidRDefault="002228F6">
            <w:pPr>
              <w:spacing w:line="276" w:lineRule="auto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lastRenderedPageBreak/>
              <w:t>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8F6" w:rsidRDefault="002228F6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37</w:t>
            </w:r>
          </w:p>
        </w:tc>
        <w:tc>
          <w:tcPr>
            <w:tcW w:w="7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2229"/>
              <w:gridCol w:w="5200"/>
            </w:tblGrid>
            <w:tr w:rsidR="002228F6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Default="002228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Наименование/Фирменное наименование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Default="002228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  <w:b/>
                      <w:bCs/>
                    </w:rPr>
                    <w:t>ОБЩЕСТВО С ОГРАНИЧЕННОЙ ОТВЕТСТВЕННОСТЬЮ "ЭКСПРЕСС-СВЯЗЬ"</w:t>
                  </w:r>
                </w:p>
              </w:tc>
            </w:tr>
            <w:tr w:rsidR="002228F6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Default="002228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Дата подтверждения аккредитации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Default="002228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22.08.2019</w:t>
                  </w:r>
                </w:p>
              </w:tc>
            </w:tr>
            <w:tr w:rsidR="002228F6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Default="002228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Предложение о цене контракта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Default="002228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35013.31</w:t>
                  </w:r>
                </w:p>
              </w:tc>
            </w:tr>
            <w:tr w:rsidR="002228F6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Default="002228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Default="002228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8622023939</w:t>
                  </w:r>
                </w:p>
              </w:tc>
            </w:tr>
            <w:tr w:rsidR="002228F6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Default="002228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Default="002228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862201001</w:t>
                  </w:r>
                </w:p>
              </w:tc>
            </w:tr>
            <w:tr w:rsidR="002228F6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Default="002228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Default="002228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>
                    <w:rPr>
                      <w:rFonts w:ascii="Calibri" w:hAnsi="Calibri"/>
                    </w:rPr>
                    <w:t xml:space="preserve"> А</w:t>
                  </w:r>
                  <w:proofErr w:type="gramEnd"/>
                  <w:r>
                    <w:rPr>
                      <w:rFonts w:ascii="Calibri" w:hAnsi="Calibri"/>
                    </w:rPr>
                    <w:t>, ОФИС 103</w:t>
                  </w:r>
                </w:p>
              </w:tc>
            </w:tr>
            <w:tr w:rsidR="002228F6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Default="002228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Default="002228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628260, АО ХАНТЫ-МАНСИЙСКИЙ АВТОНОМНЫЙ ОКРУГ - ЮГРА, Г ЮГОРСК, УЛ ЖЕЛЕЗНОДОРОЖНАЯ, ДОМ 53</w:t>
                  </w:r>
                  <w:proofErr w:type="gramStart"/>
                  <w:r>
                    <w:rPr>
                      <w:rFonts w:ascii="Calibri" w:hAnsi="Calibri"/>
                    </w:rPr>
                    <w:t xml:space="preserve"> А</w:t>
                  </w:r>
                  <w:proofErr w:type="gramEnd"/>
                  <w:r>
                    <w:rPr>
                      <w:rFonts w:ascii="Calibri" w:hAnsi="Calibri"/>
                    </w:rPr>
                    <w:t>, ОФИС 103</w:t>
                  </w:r>
                </w:p>
              </w:tc>
            </w:tr>
            <w:tr w:rsidR="002228F6">
              <w:tc>
                <w:tcPr>
                  <w:tcW w:w="1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Default="002228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228F6" w:rsidRDefault="002228F6">
                  <w:pPr>
                    <w:rPr>
                      <w:rFonts w:ascii="Calibri" w:hAnsi="Calibri"/>
                      <w:sz w:val="24"/>
                      <w:szCs w:val="24"/>
                    </w:rPr>
                  </w:pPr>
                  <w:r>
                    <w:rPr>
                      <w:rFonts w:ascii="Calibri" w:hAnsi="Calibri"/>
                    </w:rPr>
                    <w:t>79227607724</w:t>
                  </w:r>
                </w:p>
              </w:tc>
            </w:tr>
          </w:tbl>
          <w:p w:rsidR="002228F6" w:rsidRDefault="002228F6">
            <w:pPr>
              <w:rPr>
                <w:rFonts w:ascii="PT Astra Serif" w:hAnsi="PT Astra Serif"/>
                <w:color w:val="FF0000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228F6" w:rsidRDefault="002228F6"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35013.31</w:t>
            </w:r>
          </w:p>
        </w:tc>
      </w:tr>
    </w:tbl>
    <w:p w:rsidR="002228F6" w:rsidRDefault="002228F6" w:rsidP="002228F6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результате рассмотрения вторых частей заявок принято решение:</w:t>
      </w:r>
    </w:p>
    <w:p w:rsidR="002228F6" w:rsidRDefault="002228F6" w:rsidP="002228F6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5.1. о соответствии следующих заявок на участие в аукционе требованиям, установленным документацией об аукционе в электронной форме:</w:t>
      </w:r>
    </w:p>
    <w:p w:rsidR="002228F6" w:rsidRPr="002228F6" w:rsidRDefault="002228F6" w:rsidP="002228F6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- </w:t>
      </w:r>
      <w:r w:rsidRPr="002228F6">
        <w:rPr>
          <w:rFonts w:ascii="PT Astra Serif" w:hAnsi="PT Astra Serif"/>
          <w:sz w:val="24"/>
          <w:szCs w:val="24"/>
        </w:rPr>
        <w:t>Индивидуальный предприниматель</w:t>
      </w:r>
      <w:r w:rsidRPr="002228F6">
        <w:rPr>
          <w:rFonts w:ascii="PT Astra Serif" w:hAnsi="PT Astra Serif"/>
          <w:sz w:val="24"/>
          <w:szCs w:val="24"/>
        </w:rPr>
        <w:t xml:space="preserve"> </w:t>
      </w:r>
      <w:r w:rsidRPr="002228F6">
        <w:rPr>
          <w:rFonts w:ascii="PT Astra Serif" w:hAnsi="PT Astra Serif"/>
          <w:sz w:val="24"/>
          <w:szCs w:val="24"/>
        </w:rPr>
        <w:t>ЛЯМИН ЭДУАРД ВЛАДИМИРОВИЧ;</w:t>
      </w:r>
      <w:r>
        <w:rPr>
          <w:rFonts w:ascii="PT Astra Serif" w:hAnsi="PT Astra Serif"/>
          <w:sz w:val="24"/>
          <w:szCs w:val="24"/>
        </w:rPr>
        <w:br/>
        <w:t xml:space="preserve">- </w:t>
      </w:r>
      <w:r w:rsidRPr="002228F6">
        <w:rPr>
          <w:rFonts w:ascii="PT Astra Serif" w:hAnsi="PT Astra Serif"/>
          <w:sz w:val="24"/>
          <w:szCs w:val="24"/>
        </w:rPr>
        <w:t>ОБЩЕСТВО С ОГРАНИЧЕННОЙ ОТВЕТСТВЕННОСТЬЮ "ЭКСПРЕСС-СВЯЗЬ"</w:t>
      </w:r>
      <w:r w:rsidRPr="002228F6">
        <w:rPr>
          <w:rFonts w:ascii="PT Astra Serif" w:hAnsi="PT Astra Serif"/>
          <w:sz w:val="24"/>
          <w:szCs w:val="24"/>
        </w:rPr>
        <w:t>.</w:t>
      </w:r>
    </w:p>
    <w:p w:rsidR="002228F6" w:rsidRPr="00383C86" w:rsidRDefault="002228F6" w:rsidP="00383C86">
      <w:pPr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 В результате рассмотрения вторых частей заявок и на основании протокола проведения аукциона в электронной форме от 11.12.2019 победителем аукциона в электронной форме признается </w:t>
      </w:r>
      <w:r w:rsidR="00383C86" w:rsidRPr="00383C86">
        <w:rPr>
          <w:rFonts w:ascii="PT Astra Serif" w:hAnsi="PT Astra Serif"/>
          <w:sz w:val="24"/>
          <w:szCs w:val="24"/>
        </w:rPr>
        <w:t>Индивидуальный предприниматель</w:t>
      </w:r>
      <w:r w:rsidR="00383C86" w:rsidRPr="00383C86">
        <w:rPr>
          <w:rFonts w:ascii="PT Astra Serif" w:hAnsi="PT Astra Serif"/>
          <w:sz w:val="24"/>
          <w:szCs w:val="24"/>
        </w:rPr>
        <w:t xml:space="preserve"> </w:t>
      </w:r>
      <w:r w:rsidR="00383C86" w:rsidRPr="00383C86">
        <w:rPr>
          <w:rFonts w:ascii="PT Astra Serif" w:hAnsi="PT Astra Serif"/>
          <w:sz w:val="24"/>
          <w:szCs w:val="24"/>
        </w:rPr>
        <w:t>ЛЯМИН ЭДУАРД ВЛАДИМИРОВИЧ</w:t>
      </w:r>
      <w:r>
        <w:rPr>
          <w:rFonts w:ascii="PT Astra Serif" w:hAnsi="PT Astra Serif"/>
          <w:sz w:val="24"/>
          <w:szCs w:val="24"/>
        </w:rPr>
        <w:t xml:space="preserve">,  с ценой муниципального контракта  </w:t>
      </w:r>
      <w:r w:rsidR="00383C86" w:rsidRPr="00383C86">
        <w:rPr>
          <w:rFonts w:ascii="PT Astra Serif" w:hAnsi="PT Astra Serif"/>
          <w:sz w:val="24"/>
          <w:szCs w:val="24"/>
        </w:rPr>
        <w:t>35013.31</w:t>
      </w:r>
      <w:r>
        <w:rPr>
          <w:rFonts w:ascii="PT Astra Serif" w:hAnsi="PT Astra Serif"/>
          <w:sz w:val="24"/>
          <w:szCs w:val="24"/>
        </w:rPr>
        <w:t xml:space="preserve"> рублей. </w:t>
      </w:r>
    </w:p>
    <w:p w:rsidR="002228F6" w:rsidRDefault="00383C86" w:rsidP="00383C86">
      <w:pPr>
        <w:suppressAutoHyphens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2228F6">
        <w:rPr>
          <w:rFonts w:ascii="PT Astra Serif" w:hAnsi="PT Astra Serif"/>
          <w:sz w:val="24"/>
          <w:szCs w:val="24"/>
        </w:rPr>
        <w:t xml:space="preserve">. Настоящий протокол подведения итогов аукциона в электронной форме подлежит размещению   на   сайте оператора электронной площадки </w:t>
      </w:r>
      <w:hyperlink r:id="rId8" w:history="1">
        <w:r w:rsidR="002228F6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="002228F6">
        <w:rPr>
          <w:rFonts w:ascii="PT Astra Serif" w:hAnsi="PT Astra Serif"/>
          <w:sz w:val="24"/>
          <w:szCs w:val="24"/>
        </w:rPr>
        <w:t>.</w:t>
      </w:r>
    </w:p>
    <w:p w:rsidR="002228F6" w:rsidRDefault="002228F6" w:rsidP="002228F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2228F6" w:rsidRDefault="002228F6" w:rsidP="002228F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членов комиссии о соответствии/несоответствии заявок участников закупки </w:t>
      </w:r>
    </w:p>
    <w:p w:rsidR="002228F6" w:rsidRDefault="002228F6" w:rsidP="00383C86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требованиям документации об аукционе</w:t>
      </w:r>
    </w:p>
    <w:tbl>
      <w:tblPr>
        <w:tblW w:w="0" w:type="auto"/>
        <w:tblInd w:w="-34" w:type="dxa"/>
        <w:tblLayout w:type="fixed"/>
        <w:tblLook w:val="01E0" w:firstRow="1" w:lastRow="1" w:firstColumn="1" w:lastColumn="1" w:noHBand="0" w:noVBand="0"/>
      </w:tblPr>
      <w:tblGrid>
        <w:gridCol w:w="6379"/>
        <w:gridCol w:w="2126"/>
        <w:gridCol w:w="2693"/>
      </w:tblGrid>
      <w:tr w:rsidR="002228F6" w:rsidTr="00383C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F6" w:rsidRDefault="002228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документации об аукционе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F6" w:rsidRDefault="002228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F6" w:rsidRDefault="002228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2228F6" w:rsidTr="00383C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F6" w:rsidRDefault="002228F6">
            <w:pPr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6" w:rsidRDefault="002228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F6" w:rsidRDefault="002228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С.Д.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Голин</w:t>
            </w:r>
            <w:proofErr w:type="spellEnd"/>
          </w:p>
        </w:tc>
      </w:tr>
      <w:tr w:rsidR="002228F6" w:rsidTr="00383C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F6" w:rsidRDefault="002228F6">
            <w:pPr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6" w:rsidRDefault="002228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F6" w:rsidRDefault="000E64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Климин</w:t>
            </w:r>
            <w:proofErr w:type="spellEnd"/>
          </w:p>
        </w:tc>
      </w:tr>
      <w:tr w:rsidR="002228F6" w:rsidTr="00383C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F6" w:rsidRDefault="002228F6">
            <w:pPr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6" w:rsidRDefault="002228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F6" w:rsidRDefault="000E64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В.К.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Бандурин</w:t>
            </w:r>
            <w:proofErr w:type="spellEnd"/>
          </w:p>
        </w:tc>
      </w:tr>
      <w:tr w:rsidR="002228F6" w:rsidTr="00383C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F6" w:rsidRDefault="002228F6">
            <w:pPr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28F6" w:rsidRDefault="002228F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F6" w:rsidRDefault="000E64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Т.И. </w:t>
            </w:r>
            <w:proofErr w:type="spellStart"/>
            <w:r>
              <w:rPr>
                <w:rFonts w:ascii="PT Astra Serif" w:hAnsi="PT Astra Serif"/>
                <w:sz w:val="24"/>
                <w:szCs w:val="24"/>
              </w:rPr>
              <w:t>Долгодворова</w:t>
            </w:r>
            <w:proofErr w:type="spellEnd"/>
          </w:p>
        </w:tc>
      </w:tr>
      <w:tr w:rsidR="002228F6" w:rsidTr="00383C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F6" w:rsidRDefault="002228F6">
            <w:pPr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F6" w:rsidRDefault="002228F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F6" w:rsidRDefault="000E649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Н.А. Морозова</w:t>
            </w:r>
          </w:p>
        </w:tc>
      </w:tr>
      <w:tr w:rsidR="002228F6" w:rsidTr="00383C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F6" w:rsidRDefault="002228F6">
            <w:pPr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F6" w:rsidRDefault="002228F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F6" w:rsidRDefault="000E649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А.Т. Абдуллаев</w:t>
            </w:r>
          </w:p>
        </w:tc>
      </w:tr>
      <w:tr w:rsidR="002228F6" w:rsidTr="00383C86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8F6" w:rsidRDefault="002228F6">
            <w:pPr>
              <w:jc w:val="both"/>
              <w:rPr>
                <w:rFonts w:ascii="PT Astra Serif" w:hAnsi="PT Astra Serif"/>
                <w:noProof/>
                <w:sz w:val="16"/>
                <w:szCs w:val="16"/>
              </w:rPr>
            </w:pPr>
            <w:r>
              <w:rPr>
                <w:rFonts w:ascii="PT Astra Serif" w:hAnsi="PT Astra Serif"/>
                <w:noProof/>
                <w:sz w:val="16"/>
                <w:szCs w:val="16"/>
              </w:rPr>
              <w:t>Мое решение о соответствии (несоответствии) заявки участника закупки требованиям, установленным документацией об аукционе,  совпадает с решением, указанным в пункте 5 настоящего протокола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F6" w:rsidRDefault="002228F6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8F6" w:rsidRDefault="000E6498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Н.Б. Захарова</w:t>
            </w:r>
          </w:p>
        </w:tc>
      </w:tr>
    </w:tbl>
    <w:p w:rsidR="00383C86" w:rsidRDefault="00383C86" w:rsidP="002228F6">
      <w:pPr>
        <w:jc w:val="both"/>
        <w:rPr>
          <w:rFonts w:ascii="PT Astra Serif" w:hAnsi="PT Astra Serif"/>
          <w:b/>
          <w:sz w:val="24"/>
          <w:szCs w:val="24"/>
        </w:rPr>
      </w:pPr>
    </w:p>
    <w:p w:rsidR="002228F6" w:rsidRDefault="002228F6" w:rsidP="002228F6">
      <w:pPr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комиссии:                                                                </w:t>
      </w:r>
      <w:r>
        <w:rPr>
          <w:rFonts w:ascii="PT Astra Serif" w:hAnsi="PT Astra Serif"/>
          <w:b/>
          <w:sz w:val="24"/>
          <w:szCs w:val="24"/>
        </w:rPr>
        <w:tab/>
      </w:r>
      <w:r>
        <w:rPr>
          <w:rFonts w:ascii="PT Astra Serif" w:hAnsi="PT Astra Serif"/>
          <w:b/>
          <w:sz w:val="24"/>
          <w:szCs w:val="24"/>
        </w:rPr>
        <w:tab/>
        <w:t xml:space="preserve">С.Д. </w:t>
      </w:r>
      <w:proofErr w:type="spellStart"/>
      <w:r>
        <w:rPr>
          <w:rFonts w:ascii="PT Astra Serif" w:hAnsi="PT Astra Serif"/>
          <w:b/>
          <w:sz w:val="24"/>
          <w:szCs w:val="24"/>
        </w:rPr>
        <w:t>Голин</w:t>
      </w:r>
      <w:proofErr w:type="spellEnd"/>
    </w:p>
    <w:p w:rsidR="002228F6" w:rsidRDefault="00383C86" w:rsidP="002228F6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Член</w:t>
      </w:r>
      <w:r w:rsidR="002228F6">
        <w:rPr>
          <w:rFonts w:ascii="PT Astra Serif" w:hAnsi="PT Astra Serif"/>
          <w:b/>
          <w:sz w:val="24"/>
          <w:szCs w:val="24"/>
        </w:rPr>
        <w:t xml:space="preserve">ы  комиссии                                                                                                                                                                                                </w:t>
      </w:r>
    </w:p>
    <w:p w:rsidR="002228F6" w:rsidRDefault="002228F6" w:rsidP="002228F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_________________</w:t>
      </w:r>
      <w:proofErr w:type="spellStart"/>
      <w:r>
        <w:rPr>
          <w:rFonts w:ascii="PT Astra Serif" w:hAnsi="PT Astra Serif"/>
          <w:sz w:val="24"/>
          <w:szCs w:val="24"/>
        </w:rPr>
        <w:t>В.К.Бандурин</w:t>
      </w:r>
      <w:proofErr w:type="spellEnd"/>
    </w:p>
    <w:p w:rsidR="002228F6" w:rsidRDefault="002228F6" w:rsidP="002228F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</w:t>
      </w:r>
      <w:proofErr w:type="spellStart"/>
      <w:r>
        <w:rPr>
          <w:rFonts w:ascii="PT Astra Serif" w:hAnsi="PT Astra Serif"/>
          <w:sz w:val="24"/>
          <w:szCs w:val="24"/>
        </w:rPr>
        <w:t>В.А.Климин</w:t>
      </w:r>
      <w:proofErr w:type="spellEnd"/>
    </w:p>
    <w:p w:rsidR="002228F6" w:rsidRDefault="002228F6" w:rsidP="002228F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__________________Н.А. Морозова</w:t>
      </w:r>
    </w:p>
    <w:p w:rsidR="002228F6" w:rsidRDefault="002228F6" w:rsidP="002228F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_______________Т.И. </w:t>
      </w:r>
      <w:proofErr w:type="spellStart"/>
      <w:r>
        <w:rPr>
          <w:rFonts w:ascii="PT Astra Serif" w:hAnsi="PT Astra Serif"/>
          <w:sz w:val="24"/>
          <w:szCs w:val="24"/>
        </w:rPr>
        <w:t>Долгодворова</w:t>
      </w:r>
      <w:proofErr w:type="spellEnd"/>
    </w:p>
    <w:p w:rsidR="002228F6" w:rsidRDefault="002228F6" w:rsidP="002228F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 __________________А.Т. Абдуллаев </w:t>
      </w:r>
    </w:p>
    <w:p w:rsidR="002228F6" w:rsidRDefault="002228F6" w:rsidP="002228F6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___________________Н.Б. Захарова</w:t>
      </w:r>
    </w:p>
    <w:p w:rsidR="002228F6" w:rsidRDefault="002228F6" w:rsidP="002228F6">
      <w:pPr>
        <w:jc w:val="right"/>
        <w:rPr>
          <w:rFonts w:ascii="PT Astra Serif" w:hAnsi="PT Astra Serif"/>
          <w:sz w:val="24"/>
          <w:szCs w:val="24"/>
        </w:rPr>
      </w:pPr>
    </w:p>
    <w:p w:rsidR="002228F6" w:rsidRDefault="002228F6" w:rsidP="002228F6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Представитель заказчика:                                                                          ______________М.Г. Филиппова</w:t>
      </w:r>
    </w:p>
    <w:p w:rsidR="002228F6" w:rsidRDefault="002228F6" w:rsidP="002228F6">
      <w:pPr>
        <w:widowControl/>
        <w:rPr>
          <w:rFonts w:ascii="PT Astra Serif" w:hAnsi="PT Astra Serif"/>
          <w:sz w:val="24"/>
          <w:szCs w:val="24"/>
        </w:rPr>
        <w:sectPr w:rsidR="002228F6" w:rsidSect="002228F6">
          <w:pgSz w:w="11906" w:h="16838"/>
          <w:pgMar w:top="426" w:right="282" w:bottom="284" w:left="567" w:header="709" w:footer="709" w:gutter="0"/>
          <w:cols w:space="720"/>
        </w:sectPr>
      </w:pPr>
    </w:p>
    <w:p w:rsidR="00383C86" w:rsidRDefault="00383C86" w:rsidP="00383C86">
      <w:pPr>
        <w:ind w:right="342" w:hanging="426"/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383C86" w:rsidRDefault="00383C86" w:rsidP="00383C86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383C86" w:rsidRDefault="00383C86" w:rsidP="00383C86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аукциона в электронной форме</w:t>
      </w:r>
    </w:p>
    <w:p w:rsidR="00383C86" w:rsidRPr="00383C86" w:rsidRDefault="00383C86" w:rsidP="00383C86">
      <w:pPr>
        <w:tabs>
          <w:tab w:val="left" w:pos="3930"/>
          <w:tab w:val="right" w:pos="9355"/>
        </w:tabs>
        <w:ind w:right="342"/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</w:t>
      </w:r>
      <w:r>
        <w:rPr>
          <w:sz w:val="22"/>
          <w:szCs w:val="22"/>
        </w:rPr>
        <w:t xml:space="preserve">                             </w:t>
      </w:r>
      <w:r>
        <w:rPr>
          <w:sz w:val="22"/>
          <w:szCs w:val="22"/>
        </w:rPr>
        <w:t xml:space="preserve">  </w:t>
      </w:r>
      <w:r w:rsidR="000E6498">
        <w:rPr>
          <w:sz w:val="16"/>
          <w:szCs w:val="16"/>
        </w:rPr>
        <w:t>от «12</w:t>
      </w:r>
      <w:r>
        <w:rPr>
          <w:sz w:val="16"/>
          <w:szCs w:val="16"/>
        </w:rPr>
        <w:t xml:space="preserve">» декабря 2019 г. </w:t>
      </w:r>
      <w:r>
        <w:rPr>
          <w:sz w:val="16"/>
          <w:szCs w:val="16"/>
        </w:rPr>
        <w:t>№</w:t>
      </w:r>
      <w:r>
        <w:rPr>
          <w:sz w:val="16"/>
          <w:szCs w:val="16"/>
        </w:rPr>
        <w:t>0187300005819000387-3</w:t>
      </w:r>
    </w:p>
    <w:p w:rsidR="00383C86" w:rsidRDefault="00383C86" w:rsidP="00383C8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Таблица подведения итогов</w:t>
      </w:r>
    </w:p>
    <w:p w:rsidR="00383C86" w:rsidRDefault="00383C86" w:rsidP="00383C86">
      <w:pPr>
        <w:keepNext/>
        <w:keepLines/>
        <w:suppressLineNumbers/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аукциона в электронной форме </w:t>
      </w:r>
      <w:r>
        <w:rPr>
          <w:b/>
          <w:sz w:val="22"/>
          <w:szCs w:val="22"/>
        </w:rPr>
        <w:t xml:space="preserve">среди субъектов малого предпринимательства и социально ориентированных некоммерческих организаций </w:t>
      </w:r>
    </w:p>
    <w:p w:rsidR="00383C86" w:rsidRPr="00383C86" w:rsidRDefault="00383C86" w:rsidP="00383C86">
      <w:pPr>
        <w:keepNext/>
        <w:keepLines/>
        <w:suppressLineNumbers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на право заключения муниципального </w:t>
      </w:r>
      <w:proofErr w:type="gramStart"/>
      <w:r>
        <w:rPr>
          <w:b/>
          <w:sz w:val="22"/>
          <w:szCs w:val="22"/>
        </w:rPr>
        <w:t>контракта</w:t>
      </w:r>
      <w:proofErr w:type="gramEnd"/>
      <w:r>
        <w:rPr>
          <w:b/>
          <w:sz w:val="22"/>
          <w:szCs w:val="22"/>
        </w:rPr>
        <w:t xml:space="preserve"> на оказание услуг по техническому обслуживанию систем кондиционирования</w:t>
      </w:r>
    </w:p>
    <w:p w:rsidR="00383C86" w:rsidRDefault="00383C86" w:rsidP="00383C86">
      <w:pPr>
        <w:ind w:firstLine="708"/>
        <w:rPr>
          <w:szCs w:val="18"/>
        </w:rPr>
      </w:pPr>
      <w:r>
        <w:rPr>
          <w:szCs w:val="18"/>
        </w:rPr>
        <w:t xml:space="preserve">Заказчик: Администрация города </w:t>
      </w:r>
      <w:proofErr w:type="spellStart"/>
      <w:r>
        <w:rPr>
          <w:szCs w:val="18"/>
        </w:rPr>
        <w:t>Югорска</w:t>
      </w:r>
      <w:proofErr w:type="spellEnd"/>
    </w:p>
    <w:tbl>
      <w:tblPr>
        <w:tblW w:w="10493" w:type="dxa"/>
        <w:tblInd w:w="2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6521"/>
        <w:gridCol w:w="1135"/>
        <w:gridCol w:w="1418"/>
        <w:gridCol w:w="1419"/>
      </w:tblGrid>
      <w:tr w:rsidR="00383C86" w:rsidTr="00383C86">
        <w:trPr>
          <w:trHeight w:val="330"/>
        </w:trPr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3C86" w:rsidRDefault="00383C86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Идентификационный номер заявки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83C86" w:rsidRDefault="00383C86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83C86" w:rsidRDefault="00383C86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37</w:t>
            </w:r>
          </w:p>
        </w:tc>
      </w:tr>
      <w:tr w:rsidR="00383C86" w:rsidTr="00383C86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3C86" w:rsidRDefault="00383C86">
            <w:pPr>
              <w:suppressAutoHyphens/>
              <w:snapToGrid w:val="0"/>
              <w:ind w:left="294" w:hanging="294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Показатель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3C86" w:rsidRDefault="00383C86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Обязательные требования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83C86" w:rsidRDefault="00383C86">
            <w:pPr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 xml:space="preserve">Индивидуальный предприниматель ЛЯМИН ЭДУАРД ВЛАДИМИРОВИЧ, </w:t>
            </w:r>
          </w:p>
          <w:p w:rsidR="00383C86" w:rsidRDefault="00383C86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 xml:space="preserve">г. </w:t>
            </w:r>
            <w:proofErr w:type="spellStart"/>
            <w:r>
              <w:rPr>
                <w:color w:val="000000"/>
                <w:sz w:val="14"/>
                <w:szCs w:val="14"/>
              </w:rPr>
              <w:t>Югорск</w:t>
            </w:r>
            <w:proofErr w:type="spellEnd"/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83C86" w:rsidRDefault="00383C86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ОБЩЕСТВО С ОГРАНИЧЕННОЙ ОТВЕТСТВЕННОСТЬЮ "ЭКСПРЕСС-СВЯЗЬ"</w:t>
            </w:r>
          </w:p>
        </w:tc>
      </w:tr>
      <w:tr w:rsidR="00383C86" w:rsidTr="00383C86">
        <w:trPr>
          <w:trHeight w:val="440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83C86" w:rsidRDefault="00383C86">
            <w:pPr>
              <w:suppressAutoHyphens/>
              <w:snapToGrid w:val="0"/>
              <w:ind w:left="108" w:right="119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1.</w:t>
            </w:r>
            <w:r>
              <w:rPr>
                <w:sz w:val="14"/>
                <w:szCs w:val="14"/>
              </w:rPr>
              <w:t xml:space="preserve">Непроведение ликвидации участника </w:t>
            </w:r>
            <w:r>
              <w:rPr>
                <w:bCs/>
                <w:sz w:val="14"/>
                <w:szCs w:val="14"/>
              </w:rPr>
              <w:t>закупки -</w:t>
            </w:r>
            <w:r>
              <w:rPr>
                <w:sz w:val="14"/>
                <w:szCs w:val="14"/>
              </w:rPr>
              <w:t xml:space="preserve"> юридического лица и отсутствие решения арбитражного суда о признании участника </w:t>
            </w:r>
            <w:r>
              <w:rPr>
                <w:bCs/>
                <w:sz w:val="14"/>
                <w:szCs w:val="14"/>
              </w:rPr>
              <w:t>закупки</w:t>
            </w:r>
            <w:r>
              <w:rPr>
                <w:sz w:val="14"/>
                <w:szCs w:val="14"/>
              </w:rPr>
              <w:t xml:space="preserve"> - юридического лица, индивидуального предпринимателя </w:t>
            </w:r>
            <w:r>
              <w:rPr>
                <w:bCs/>
                <w:sz w:val="14"/>
                <w:szCs w:val="14"/>
              </w:rPr>
              <w:t>несостоятельным (</w:t>
            </w:r>
            <w:r>
              <w:rPr>
                <w:sz w:val="14"/>
                <w:szCs w:val="14"/>
              </w:rPr>
              <w:t>банкротом</w:t>
            </w:r>
            <w:r>
              <w:rPr>
                <w:bCs/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и об открытии конкурсного производства.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3C86" w:rsidRDefault="00383C86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83C86" w:rsidTr="00383C86">
        <w:trPr>
          <w:trHeight w:val="387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83C86" w:rsidRDefault="00383C86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2.Неприостановление деятельности участника закупки в порядке, установленном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3C86" w:rsidRDefault="00383C86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83C86" w:rsidTr="00383C86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83C86" w:rsidRDefault="00383C86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 xml:space="preserve">3. </w:t>
            </w:r>
            <w:proofErr w:type="gramStart"/>
            <w:r>
              <w:rPr>
                <w:sz w:val="14"/>
                <w:szCs w:val="14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>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сборах) за прошедший календарный год,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      </w:r>
            <w:proofErr w:type="gramEnd"/>
            <w:r>
              <w:rPr>
                <w:sz w:val="14"/>
                <w:szCs w:val="14"/>
              </w:rPr>
              <w:t xml:space="preserve"> Участник закупки считается соответствующим установленному требованию в случае, если им в установленном порядке подано заявление об обжаловании </w:t>
            </w:r>
            <w:proofErr w:type="gramStart"/>
            <w:r>
              <w:rPr>
                <w:sz w:val="14"/>
                <w:szCs w:val="14"/>
              </w:rPr>
              <w:t>указанных</w:t>
            </w:r>
            <w:proofErr w:type="gramEnd"/>
            <w:r>
              <w:rPr>
                <w:sz w:val="14"/>
                <w:szCs w:val="14"/>
              </w:rPr>
              <w:t xml:space="preserve"> недоимки, задолженности и решение по такому заявлению на дату рассмотрения заявки на участие в определении поставщика (подрядчика, исполнителя) не принято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3C86" w:rsidRDefault="00383C86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83C86" w:rsidTr="00383C86"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83C86" w:rsidRDefault="00383C8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 xml:space="preserve">4. </w:t>
            </w:r>
            <w:proofErr w:type="gramStart"/>
            <w:r>
              <w:rPr>
                <w:color w:val="000000"/>
                <w:sz w:val="14"/>
                <w:szCs w:val="14"/>
              </w:rPr>
              <w:t>Отсутствие у участника закупки - физического лица либо у руководителя, членов коллегиального исполнительного органа, лица, исполняющего функции единоличного исполнительного органа, или главного бухгалтера юридического лица - участника закупки судимости за преступления в сфере экономики и (или) преступления, предусмотренные статьями 289, 290, 291, 291.1 Уголовного кодекса Российской Федерации (за исключением лиц, у которых такая судимость погашена или снята), а также неприменение в отношении</w:t>
            </w:r>
            <w:proofErr w:type="gramEnd"/>
            <w:r>
              <w:rPr>
                <w:color w:val="000000"/>
                <w:sz w:val="14"/>
                <w:szCs w:val="14"/>
              </w:rPr>
              <w:t xml:space="preserve"> указанных физических лиц наказания в виде лишения права занимать определённые должности или заниматься определённой деятельностью, которые связаны с поставкой товара, выполнением работы, оказанием услуги, являющихся объектом осуществляемой закупки, и административного наказания в виде дисквалификации</w:t>
            </w:r>
          </w:p>
        </w:tc>
        <w:tc>
          <w:tcPr>
            <w:tcW w:w="1135" w:type="dxa"/>
            <w:tcBorders>
              <w:top w:val="nil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383C86" w:rsidRDefault="00383C86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83C86" w:rsidTr="00383C86">
        <w:trPr>
          <w:trHeight w:val="424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83C86" w:rsidRDefault="00383C86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4.1.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 статьёй 19.28 Кодекса Российской Федерации об административных правонарушениях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3C86" w:rsidRDefault="00383C86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83C86" w:rsidTr="00383C86">
        <w:trPr>
          <w:trHeight w:val="424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83C86" w:rsidRDefault="00383C86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 xml:space="preserve">5. </w:t>
            </w:r>
            <w:proofErr w:type="gramStart"/>
            <w:r>
              <w:rPr>
                <w:sz w:val="14"/>
                <w:szCs w:val="14"/>
              </w:rPr>
              <w:t>Отсутствие между участником закупки и заказчиком конфликта интересов, под которым понимаются случаи, при которых руководитель заказчика, член комиссии по осуществлению закупок, руководитель контрактной службы заказчика, контрактный управляющий состоят в браке с физическими лицами, являющимися выгодоприобретателями, единоличным исполнительным органом хозяйственного общества (директором, генеральным директором, управляющим, президентом и другими), членами коллегиального исполнительного органа хозяйственного общества, руководителем (директором, генеральным директором) учреждения или унитарного</w:t>
            </w:r>
            <w:proofErr w:type="gramEnd"/>
            <w:r>
              <w:rPr>
                <w:sz w:val="14"/>
                <w:szCs w:val="14"/>
              </w:rPr>
              <w:t xml:space="preserve"> </w:t>
            </w:r>
            <w:proofErr w:type="gramStart"/>
            <w:r>
              <w:rPr>
                <w:sz w:val="14"/>
                <w:szCs w:val="14"/>
              </w:rPr>
              <w:t xml:space="preserve">предприятия либо иными органами управления юридических лиц - участников закупки, с физическими лицами, в том числе зарегистрированными в качестве индивидуального предпринимателя, - участниками закупки либо являются близкими родственниками (родственниками по прямой восходящей и нисходящей линии (родителями и детьми, дедушкой, бабушкой и внуками), полнородными и </w:t>
            </w:r>
            <w:proofErr w:type="spellStart"/>
            <w:r>
              <w:rPr>
                <w:sz w:val="14"/>
                <w:szCs w:val="14"/>
              </w:rPr>
              <w:t>неполнородными</w:t>
            </w:r>
            <w:proofErr w:type="spellEnd"/>
            <w:r>
              <w:rPr>
                <w:sz w:val="14"/>
                <w:szCs w:val="14"/>
              </w:rPr>
              <w:t xml:space="preserve"> (имеющими общих отца или мать) братьями и сестрами), усыновителями или усыновленными указанных физических лиц.</w:t>
            </w:r>
            <w:proofErr w:type="gramEnd"/>
            <w:r>
              <w:rPr>
                <w:sz w:val="14"/>
                <w:szCs w:val="14"/>
              </w:rPr>
              <w:t xml:space="preserve"> Под выгодоприобретателями понимаются физические лица, владеющие напрямую или косвенно (через юридическое лицо или через несколько юридических лиц) более чем десятью процентами голосующих акций хозяйственного общества либо долей, превышающей десять процентов в уставном капитале хозяйственного общества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3C86" w:rsidRDefault="00383C86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83C86" w:rsidTr="00383C86">
        <w:trPr>
          <w:trHeight w:val="424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83C86" w:rsidRDefault="00383C86">
            <w:pPr>
              <w:suppressAutoHyphens/>
              <w:snapToGrid w:val="0"/>
              <w:ind w:left="105" w:right="120"/>
              <w:jc w:val="both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6. Принадлежность участника закупки к субъектам      малого предпринимательства или социально ориентированным некоммерческим организациям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3C86" w:rsidRDefault="00383C86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декларация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продекларирована</w:t>
            </w:r>
          </w:p>
        </w:tc>
      </w:tr>
      <w:tr w:rsidR="00383C86" w:rsidTr="00383C86">
        <w:trPr>
          <w:trHeight w:val="424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83C86" w:rsidRDefault="00383C86">
            <w:pPr>
              <w:suppressAutoHyphens/>
              <w:snapToGrid w:val="0"/>
              <w:ind w:left="105" w:right="120"/>
              <w:jc w:val="both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 xml:space="preserve">7. </w:t>
            </w:r>
            <w:r>
              <w:rPr>
                <w:sz w:val="14"/>
                <w:szCs w:val="14"/>
              </w:rPr>
              <w:t xml:space="preserve">Отсутствие в реестре недобросовестных поставщиков сведений об участнике </w:t>
            </w:r>
            <w:r>
              <w:rPr>
                <w:bCs/>
                <w:sz w:val="14"/>
                <w:szCs w:val="14"/>
              </w:rPr>
              <w:t>закупки – юридическом лице</w:t>
            </w:r>
            <w:r>
              <w:rPr>
                <w:sz w:val="14"/>
                <w:szCs w:val="14"/>
              </w:rPr>
              <w:t xml:space="preserve">, </w:t>
            </w:r>
            <w:r>
              <w:rPr>
                <w:bCs/>
                <w:sz w:val="14"/>
                <w:szCs w:val="14"/>
              </w:rPr>
              <w:t>в том числе</w:t>
            </w:r>
            <w:r>
              <w:rPr>
                <w:sz w:val="14"/>
                <w:szCs w:val="14"/>
              </w:rPr>
              <w:t xml:space="preserve"> сведений об учредителях, </w:t>
            </w:r>
            <w:r>
              <w:rPr>
                <w:bCs/>
                <w:sz w:val="14"/>
                <w:szCs w:val="14"/>
              </w:rPr>
              <w:t>о</w:t>
            </w:r>
            <w:r>
              <w:rPr>
                <w:sz w:val="14"/>
                <w:szCs w:val="14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>
              <w:rPr>
                <w:bCs/>
                <w:sz w:val="14"/>
                <w:szCs w:val="14"/>
              </w:rPr>
              <w:t>закупки – для юридического лица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3C86" w:rsidRDefault="00383C86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отсутствие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jc w:val="center"/>
              <w:rPr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Информация отсутствует</w:t>
            </w:r>
          </w:p>
        </w:tc>
      </w:tr>
      <w:tr w:rsidR="00383C86" w:rsidTr="00383C86">
        <w:trPr>
          <w:trHeight w:val="424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83C86" w:rsidRDefault="00383C86">
            <w:pPr>
              <w:suppressAutoHyphens/>
              <w:snapToGrid w:val="0"/>
              <w:ind w:left="105" w:right="120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8. П</w:t>
            </w:r>
            <w:r>
              <w:rPr>
                <w:color w:val="000000"/>
                <w:kern w:val="2"/>
                <w:sz w:val="14"/>
                <w:szCs w:val="14"/>
              </w:rPr>
              <w:t>ринадлежность участника  закупки к офшорным компаниям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3C86" w:rsidRDefault="00383C86">
            <w:pPr>
              <w:suppressAutoHyphens/>
              <w:snapToGrid w:val="0"/>
              <w:ind w:left="105" w:right="12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kern w:val="2"/>
                <w:sz w:val="14"/>
                <w:szCs w:val="14"/>
              </w:rPr>
              <w:t>непринадлежность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не принадлежит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не принадлежит</w:t>
            </w:r>
          </w:p>
        </w:tc>
      </w:tr>
      <w:tr w:rsidR="00383C86" w:rsidTr="00383C86">
        <w:trPr>
          <w:trHeight w:val="552"/>
        </w:trPr>
        <w:tc>
          <w:tcPr>
            <w:tcW w:w="65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83C86" w:rsidRDefault="00383C86">
            <w:pPr>
              <w:suppressAutoHyphens/>
              <w:snapToGrid w:val="0"/>
              <w:ind w:left="105" w:right="120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9. Объем предоставленных документов и сведений для участия в аукционе</w:t>
            </w:r>
          </w:p>
        </w:tc>
        <w:tc>
          <w:tcPr>
            <w:tcW w:w="113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383C86" w:rsidRDefault="00383C86">
            <w:pPr>
              <w:suppressAutoHyphens/>
              <w:snapToGrid w:val="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объеме, указанном  в  документации  об  аукционе</w:t>
            </w:r>
          </w:p>
        </w:tc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полном  объеме</w:t>
            </w:r>
          </w:p>
        </w:tc>
        <w:tc>
          <w:tcPr>
            <w:tcW w:w="1419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83C86" w:rsidRDefault="00383C86">
            <w:pPr>
              <w:suppressAutoHyphens/>
              <w:snapToGrid w:val="0"/>
              <w:ind w:left="110" w:right="110"/>
              <w:jc w:val="center"/>
              <w:rPr>
                <w:color w:val="000000"/>
                <w:sz w:val="14"/>
                <w:szCs w:val="14"/>
                <w:lang w:eastAsia="ar-SA"/>
              </w:rPr>
            </w:pPr>
            <w:r>
              <w:rPr>
                <w:color w:val="000000"/>
                <w:sz w:val="14"/>
                <w:szCs w:val="14"/>
              </w:rPr>
              <w:t>в полном  объеме</w:t>
            </w:r>
          </w:p>
        </w:tc>
      </w:tr>
      <w:tr w:rsidR="00383C86" w:rsidTr="00383C86">
        <w:trPr>
          <w:trHeight w:val="235"/>
        </w:trPr>
        <w:tc>
          <w:tcPr>
            <w:tcW w:w="1049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83C86" w:rsidRDefault="00383C8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10. Начальная максимальная цена контракта —</w:t>
            </w:r>
            <w:r>
              <w:rPr>
                <w:b/>
                <w:sz w:val="14"/>
                <w:szCs w:val="14"/>
              </w:rPr>
              <w:t xml:space="preserve">  37 240 (тридцать семь тысяч двести сорок) рублей 39 копеек</w:t>
            </w:r>
          </w:p>
        </w:tc>
      </w:tr>
      <w:tr w:rsidR="00383C86" w:rsidTr="00383C86">
        <w:trPr>
          <w:trHeight w:val="64"/>
        </w:trPr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nil"/>
            </w:tcBorders>
            <w:hideMark/>
          </w:tcPr>
          <w:p w:rsidR="00383C86" w:rsidRDefault="00383C86">
            <w:pPr>
              <w:suppressAutoHyphens/>
              <w:snapToGrid w:val="0"/>
              <w:ind w:left="105" w:right="120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11. Предложенная цена контракта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383C86" w:rsidRDefault="00383C8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35 013,31</w:t>
            </w:r>
          </w:p>
          <w:p w:rsidR="00383C86" w:rsidRDefault="00383C8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08:41:58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4" w:space="0" w:color="auto"/>
            </w:tcBorders>
            <w:hideMark/>
          </w:tcPr>
          <w:p w:rsidR="00383C86" w:rsidRDefault="00383C86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35 013,31</w:t>
            </w:r>
          </w:p>
          <w:p w:rsidR="00383C86" w:rsidRDefault="00383C8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08:56:17</w:t>
            </w:r>
          </w:p>
        </w:tc>
      </w:tr>
      <w:tr w:rsidR="00383C86" w:rsidTr="00383C86">
        <w:trPr>
          <w:trHeight w:val="307"/>
        </w:trPr>
        <w:tc>
          <w:tcPr>
            <w:tcW w:w="76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383C86" w:rsidRDefault="00383C86">
            <w:pPr>
              <w:suppressAutoHyphens/>
              <w:snapToGrid w:val="0"/>
              <w:ind w:left="105" w:right="120"/>
              <w:rPr>
                <w:sz w:val="14"/>
                <w:szCs w:val="14"/>
                <w:lang w:eastAsia="ar-SA"/>
              </w:rPr>
            </w:pPr>
            <w:r>
              <w:rPr>
                <w:sz w:val="14"/>
                <w:szCs w:val="14"/>
              </w:rPr>
              <w:t>12. Номер по ранжированию после завершения аукциона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83C86" w:rsidRDefault="00383C8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hideMark/>
          </w:tcPr>
          <w:p w:rsidR="00383C86" w:rsidRDefault="00383C86">
            <w:pPr>
              <w:suppressAutoHyphens/>
              <w:snapToGrid w:val="0"/>
              <w:spacing w:line="100" w:lineRule="atLeast"/>
              <w:ind w:left="12" w:right="-3" w:hanging="30"/>
              <w:jc w:val="center"/>
              <w:rPr>
                <w:b/>
                <w:sz w:val="14"/>
                <w:szCs w:val="14"/>
                <w:lang w:eastAsia="ar-SA"/>
              </w:rPr>
            </w:pPr>
            <w:r>
              <w:rPr>
                <w:b/>
                <w:sz w:val="14"/>
                <w:szCs w:val="14"/>
              </w:rPr>
              <w:t>2</w:t>
            </w:r>
          </w:p>
        </w:tc>
      </w:tr>
    </w:tbl>
    <w:p w:rsidR="003E157E" w:rsidRDefault="003E157E"/>
    <w:sectPr w:rsidR="003E157E" w:rsidSect="002228F6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4046C"/>
    <w:multiLevelType w:val="hybridMultilevel"/>
    <w:tmpl w:val="6130FBEE"/>
    <w:lvl w:ilvl="0" w:tplc="7744E87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8E3"/>
    <w:rsid w:val="000528E3"/>
    <w:rsid w:val="000E6498"/>
    <w:rsid w:val="002228F6"/>
    <w:rsid w:val="00383C86"/>
    <w:rsid w:val="003E157E"/>
    <w:rsid w:val="00823F29"/>
    <w:rsid w:val="00BB75D2"/>
    <w:rsid w:val="00F0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28F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228F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2228F6"/>
    <w:pPr>
      <w:ind w:left="720"/>
      <w:contextualSpacing/>
    </w:pPr>
    <w:rPr>
      <w:sz w:val="22"/>
      <w:szCs w:val="22"/>
      <w:lang w:eastAsia="en-US"/>
    </w:rPr>
  </w:style>
  <w:style w:type="character" w:customStyle="1" w:styleId="textspanview">
    <w:name w:val="textspanview"/>
    <w:uiPriority w:val="99"/>
    <w:rsid w:val="002228F6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semiHidden/>
    <w:unhideWhenUsed/>
    <w:rsid w:val="00383C86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83C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8F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2228F6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2228F6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2228F6"/>
    <w:pPr>
      <w:ind w:left="720"/>
      <w:contextualSpacing/>
    </w:pPr>
    <w:rPr>
      <w:sz w:val="22"/>
      <w:szCs w:val="22"/>
      <w:lang w:eastAsia="en-US"/>
    </w:rPr>
  </w:style>
  <w:style w:type="character" w:customStyle="1" w:styleId="textspanview">
    <w:name w:val="textspanview"/>
    <w:uiPriority w:val="99"/>
    <w:rsid w:val="002228F6"/>
    <w:rPr>
      <w:rFonts w:ascii="Times New Roman" w:hAnsi="Times New Roman" w:cs="Times New Roman" w:hint="default"/>
    </w:rPr>
  </w:style>
  <w:style w:type="paragraph" w:styleId="a6">
    <w:name w:val="Body Text"/>
    <w:basedOn w:val="a"/>
    <w:link w:val="a7"/>
    <w:semiHidden/>
    <w:unhideWhenUsed/>
    <w:rsid w:val="00383C86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383C86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3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upki.gov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akupki.gov.ru/pgz/spring/main-flow?rvn=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2133</Words>
  <Characters>12159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Болдырева Оксана Владиславовна</cp:lastModifiedBy>
  <cp:revision>2</cp:revision>
  <cp:lastPrinted>2019-12-11T11:53:00Z</cp:lastPrinted>
  <dcterms:created xsi:type="dcterms:W3CDTF">2019-12-11T11:18:00Z</dcterms:created>
  <dcterms:modified xsi:type="dcterms:W3CDTF">2019-12-11T11:56:00Z</dcterms:modified>
</cp:coreProperties>
</file>