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0DCC9BCE"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услуг по техническому обслуживанию </w:t>
      </w:r>
      <w:r w:rsidR="00344F2A">
        <w:rPr>
          <w:b/>
          <w:bCs/>
          <w:szCs w:val="20"/>
        </w:rPr>
        <w:t>средств пожарной сигнализации и системы речевого оповещения людей о пожаре</w:t>
      </w:r>
      <w:r w:rsidR="00A62065">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5F4ED51" w:rsidR="00A762D8" w:rsidRPr="00BF148A" w:rsidRDefault="003679CC" w:rsidP="003679CC">
            <w:pPr>
              <w:keepNext/>
              <w:keepLines/>
              <w:widowControl w:val="0"/>
              <w:suppressLineNumbers/>
              <w:suppressAutoHyphens/>
              <w:rPr>
                <w:color w:val="FF0000"/>
              </w:rPr>
            </w:pPr>
            <w:r>
              <w:rPr>
                <w:i/>
                <w:color w:val="FF0000"/>
              </w:rPr>
              <w:t>18386220010118622010010005001802</w:t>
            </w:r>
            <w:r w:rsidR="00A62065">
              <w:rPr>
                <w:i/>
                <w:color w:val="FF0000"/>
              </w:rPr>
              <w:t>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78144E3A"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7603E8">
              <w:rPr>
                <w:szCs w:val="20"/>
              </w:rPr>
              <w:t>специалист по закупкам Смирнова Ольга Владимировна</w:t>
            </w:r>
            <w:r>
              <w:rPr>
                <w:szCs w:val="20"/>
              </w:rPr>
              <w:t>;</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1964E463" w:rsidR="00A762D8" w:rsidRPr="00BF148A" w:rsidRDefault="001654EE" w:rsidP="005C4595">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оказание услуг по техни</w:t>
            </w:r>
            <w:r w:rsidR="00094E65">
              <w:rPr>
                <w:szCs w:val="20"/>
              </w:rPr>
              <w:t>ческому обслуживанию средств пожарной сигнализации и системы речевого оповещения людей о пожаре</w:t>
            </w:r>
            <w:r w:rsidR="005C4595">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62465EF" w:rsidR="00A762D8" w:rsidRPr="00BF148A" w:rsidRDefault="00A762D8" w:rsidP="00094E65">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430C0">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430C0" w:rsidRPr="00E430C0">
              <w:rPr>
                <w:bCs/>
              </w:rPr>
              <w:t>ТЕХНИЧЕСКОЕ ЗАДАНИЕ</w:t>
            </w:r>
            <w:r w:rsidRPr="00BF148A">
              <w:fldChar w:fldCharType="end"/>
            </w:r>
            <w:r w:rsidR="00094E65">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C26C9CE"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172BE8">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0D260220"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CE5809">
              <w:rPr>
                <w:snapToGrid w:val="0"/>
                <w:szCs w:val="20"/>
              </w:rPr>
              <w:t>56 400</w:t>
            </w:r>
            <w:r w:rsidR="00AC1F5F">
              <w:rPr>
                <w:snapToGrid w:val="0"/>
                <w:szCs w:val="20"/>
              </w:rPr>
              <w:t xml:space="preserve"> </w:t>
            </w:r>
            <w:r w:rsidR="00CE5809">
              <w:rPr>
                <w:snapToGrid w:val="0"/>
                <w:szCs w:val="20"/>
              </w:rPr>
              <w:t>(Пятьдесят шесть тысяч четыреста</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09EE128"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w:t>
            </w:r>
            <w:r w:rsidRPr="00BF148A">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430C0">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A3672">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BF148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w:t>
            </w:r>
            <w:r w:rsidRPr="00BF148A">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6780D332"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F13E21">
              <w:t>26</w:t>
            </w:r>
            <w:r w:rsidR="00553D5F">
              <w:t>»</w:t>
            </w:r>
            <w:r w:rsidRPr="00BF148A">
              <w:t> </w:t>
            </w:r>
            <w:r w:rsidR="00F13E21">
              <w:rPr>
                <w:sz w:val="22"/>
                <w:szCs w:val="22"/>
              </w:rPr>
              <w:t xml:space="preserve">ноября  </w:t>
            </w:r>
            <w:r w:rsidRPr="00BF148A">
              <w:t>201</w:t>
            </w:r>
            <w:r w:rsidR="00F13E21">
              <w:t>8</w:t>
            </w:r>
            <w:r w:rsidRPr="00BF148A">
              <w:t xml:space="preserve"> года;</w:t>
            </w:r>
          </w:p>
          <w:p w14:paraId="5F75C9EE" w14:textId="3A455AA0"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F13E21">
              <w:t>03</w:t>
            </w:r>
            <w:r w:rsidR="00553D5F">
              <w:t>»</w:t>
            </w:r>
            <w:r w:rsidRPr="00BF148A">
              <w:t> </w:t>
            </w:r>
            <w:r w:rsidR="00F13E21">
              <w:rPr>
                <w:sz w:val="22"/>
                <w:szCs w:val="22"/>
              </w:rPr>
              <w:t xml:space="preserve">декабря  </w:t>
            </w:r>
            <w:r w:rsidRPr="00BF148A">
              <w:t>201</w:t>
            </w:r>
            <w:r w:rsidR="00F13E21">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8122EAF" w:rsidR="00A762D8" w:rsidRPr="00BF148A" w:rsidRDefault="002F246D" w:rsidP="00F13E21">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13E21">
              <w:t>10</w:t>
            </w:r>
            <w:r w:rsidRPr="00BF148A">
              <w:t xml:space="preserve"> часов _</w:t>
            </w:r>
            <w:r w:rsidR="00F13E21">
              <w:t>00</w:t>
            </w:r>
            <w:r w:rsidRPr="00BF148A">
              <w:t xml:space="preserve">_ минут </w:t>
            </w:r>
            <w:r>
              <w:t>«</w:t>
            </w:r>
            <w:r w:rsidR="00F13E21">
              <w:t>05</w:t>
            </w:r>
            <w:r>
              <w:t>»</w:t>
            </w:r>
            <w:r w:rsidRPr="00BF148A">
              <w:t> </w:t>
            </w:r>
            <w:r w:rsidR="00F13E21">
              <w:rPr>
                <w:sz w:val="22"/>
                <w:szCs w:val="22"/>
              </w:rPr>
              <w:t xml:space="preserve">декабря  </w:t>
            </w:r>
            <w:r w:rsidRPr="00BF148A">
              <w:t>201</w:t>
            </w:r>
            <w:r w:rsidR="00F13E21">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52D3C472" w:rsidR="00A762D8" w:rsidRPr="00BF148A" w:rsidRDefault="00553D5F" w:rsidP="00F13E21">
            <w:r>
              <w:t>«</w:t>
            </w:r>
            <w:r w:rsidR="00F13E21">
              <w:t>06</w:t>
            </w:r>
            <w:r>
              <w:t>»</w:t>
            </w:r>
            <w:r w:rsidR="00A762D8" w:rsidRPr="00BF148A">
              <w:t> </w:t>
            </w:r>
            <w:r w:rsidR="00F13E21">
              <w:rPr>
                <w:sz w:val="22"/>
                <w:szCs w:val="22"/>
              </w:rPr>
              <w:t xml:space="preserve">декабря  </w:t>
            </w:r>
            <w:r w:rsidR="00A762D8" w:rsidRPr="00BF148A">
              <w:t>201</w:t>
            </w:r>
            <w:r w:rsidR="00F13E21">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0554A4AA" w:rsidR="00A762D8" w:rsidRPr="00BF148A" w:rsidRDefault="00A762D8" w:rsidP="00F13E21">
            <w:r w:rsidRPr="00BF148A">
              <w:t xml:space="preserve"> </w:t>
            </w:r>
            <w:r w:rsidR="00553D5F">
              <w:t>«</w:t>
            </w:r>
            <w:r w:rsidR="00F13E21">
              <w:t>10</w:t>
            </w:r>
            <w:r w:rsidR="00553D5F">
              <w:t>»</w:t>
            </w:r>
            <w:r w:rsidRPr="00BF148A">
              <w:t> </w:t>
            </w:r>
            <w:r w:rsidR="00F13E21">
              <w:rPr>
                <w:sz w:val="22"/>
                <w:szCs w:val="22"/>
              </w:rPr>
              <w:t xml:space="preserve">декабря  </w:t>
            </w:r>
            <w:r w:rsidRPr="00BF148A">
              <w:t>201</w:t>
            </w:r>
            <w:r w:rsidR="00F13E21">
              <w:t>8</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5AF71D12" w:rsidR="00633D9D" w:rsidRDefault="00890B3B" w:rsidP="00633D9D">
            <w:pPr>
              <w:spacing w:after="0" w:line="276" w:lineRule="auto"/>
              <w:ind w:firstLine="585"/>
              <w:rPr>
                <w:lang w:eastAsia="en-US"/>
              </w:rPr>
            </w:pPr>
            <w:r>
              <w:rPr>
                <w:lang w:eastAsia="en-US"/>
              </w:rPr>
              <w:t>-</w:t>
            </w:r>
            <w:r w:rsidR="00633D9D">
              <w:rPr>
                <w:lang w:eastAsia="en-US"/>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Pr>
                <w:lang w:eastAsia="en-US"/>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B9657AA" w14:textId="77777777" w:rsidR="008369A9" w:rsidRPr="008369A9" w:rsidRDefault="00633D9D" w:rsidP="008369A9">
            <w:pPr>
              <w:pStyle w:val="af5"/>
              <w:ind w:left="0"/>
              <w:jc w:val="both"/>
              <w:rPr>
                <w:b/>
                <w:color w:val="000000" w:themeColor="text1"/>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w:t>
            </w:r>
            <w:r w:rsidR="0054619C">
              <w:rPr>
                <w:lang w:eastAsia="en-US"/>
              </w:rPr>
              <w:t xml:space="preserve">акона от 05.04.2013 № 44-ФЗ: </w:t>
            </w:r>
            <w:r w:rsidR="008369A9" w:rsidRPr="008369A9">
              <w:rPr>
                <w:b/>
                <w:color w:val="000000" w:themeColor="text1"/>
              </w:rPr>
              <w:t>лицензия на осуществление деятельности по монтажу, техническому обслуживанию и ремонту ср</w:t>
            </w:r>
            <w:bookmarkStart w:id="16" w:name="_GoBack"/>
            <w:bookmarkEnd w:id="16"/>
            <w:r w:rsidR="008369A9" w:rsidRPr="008369A9">
              <w:rPr>
                <w:b/>
                <w:color w:val="000000" w:themeColor="text1"/>
              </w:rPr>
              <w:t>едств обеспечения пожарной безопасности зданий и сооружений.</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7603E8">
            <w:pPr>
              <w:numPr>
                <w:ilvl w:val="0"/>
                <w:numId w:val="5"/>
              </w:numPr>
              <w:suppressAutoHyphens/>
              <w:spacing w:after="0"/>
              <w:ind w:left="0" w:hanging="357"/>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w:t>
            </w:r>
            <w:r>
              <w:rPr>
                <w:lang w:eastAsia="en-US"/>
              </w:rPr>
              <w:lastRenderedPageBreak/>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Pr>
                <w:lang w:eastAsia="en-US"/>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w:t>
            </w:r>
            <w:r>
              <w:rPr>
                <w:lang w:eastAsia="en-US"/>
              </w:rPr>
              <w:lastRenderedPageBreak/>
              <w:t>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890B3B">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w:t>
            </w:r>
            <w:r w:rsidRPr="007F1929">
              <w:lastRenderedPageBreak/>
              <w:t>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78C7508B" w14:textId="77777777" w:rsidR="007B2185" w:rsidRDefault="00D250A0" w:rsidP="00D250A0">
            <w:pPr>
              <w:autoSpaceDE w:val="0"/>
              <w:autoSpaceDN w:val="0"/>
            </w:pPr>
            <w:proofErr w:type="gramStart"/>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w:t>
            </w:r>
            <w:proofErr w:type="gramEnd"/>
          </w:p>
          <w:p w14:paraId="03DB4C84" w14:textId="77777777" w:rsidR="007B2185" w:rsidRDefault="007B2185" w:rsidP="00D250A0">
            <w:pPr>
              <w:autoSpaceDE w:val="0"/>
              <w:autoSpaceDN w:val="0"/>
            </w:pPr>
          </w:p>
          <w:p w14:paraId="4F4B72CF" w14:textId="77777777" w:rsidR="007B2185" w:rsidRDefault="007B2185" w:rsidP="00D250A0">
            <w:pPr>
              <w:autoSpaceDE w:val="0"/>
              <w:autoSpaceDN w:val="0"/>
            </w:pPr>
          </w:p>
          <w:p w14:paraId="4725951B" w14:textId="748FE4DA" w:rsidR="00D250A0" w:rsidRPr="007F1929" w:rsidRDefault="00D250A0" w:rsidP="00D250A0">
            <w:pPr>
              <w:autoSpaceDE w:val="0"/>
              <w:autoSpaceDN w:val="0"/>
            </w:pPr>
            <w:r w:rsidRPr="007F1929">
              <w:t xml:space="preserve">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lastRenderedPageBreak/>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346372B" w:rsidR="00A762D8" w:rsidRPr="00BF148A" w:rsidRDefault="00CC2569" w:rsidP="00CE5809">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CE5809">
              <w:rPr>
                <w:szCs w:val="20"/>
              </w:rPr>
              <w:t>564</w:t>
            </w:r>
            <w:r w:rsidR="00A8770B" w:rsidRPr="007F1929">
              <w:rPr>
                <w:szCs w:val="20"/>
              </w:rPr>
              <w:t xml:space="preserve"> (</w:t>
            </w:r>
            <w:r w:rsidR="00CE5809">
              <w:rPr>
                <w:szCs w:val="20"/>
              </w:rPr>
              <w:t>пятьсот шестьдесят четыре</w:t>
            </w:r>
            <w:r w:rsidR="003D7DB7">
              <w:rPr>
                <w:szCs w:val="20"/>
              </w:rPr>
              <w:t>) рубля</w:t>
            </w:r>
            <w:r w:rsidR="007F1929" w:rsidRPr="007F1929">
              <w:rPr>
                <w:szCs w:val="20"/>
              </w:rPr>
              <w:t xml:space="preserve"> </w:t>
            </w:r>
            <w:r w:rsidR="00CE5809">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 xml:space="preserve">(по 30.06.2019 включительно обеспечение заявок на участие в открытом конкурсе предоставляется только путем внесения денежных </w:t>
            </w:r>
            <w:r w:rsidRPr="00ED4F22">
              <w:lastRenderedPageBreak/>
              <w:t>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0ED5516D"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CE5809">
              <w:rPr>
                <w:rFonts w:cs="Arial"/>
                <w:szCs w:val="20"/>
              </w:rPr>
              <w:t>2 820</w:t>
            </w:r>
            <w:r w:rsidRPr="00027D1D">
              <w:rPr>
                <w:rFonts w:cs="Arial"/>
                <w:szCs w:val="20"/>
              </w:rPr>
              <w:t xml:space="preserve"> (</w:t>
            </w:r>
            <w:r w:rsidR="00CE5809">
              <w:rPr>
                <w:rFonts w:cs="Arial"/>
                <w:szCs w:val="20"/>
              </w:rPr>
              <w:t>две тысячи восемьсот двадцать</w:t>
            </w:r>
            <w:r w:rsidRPr="00027D1D">
              <w:rPr>
                <w:rFonts w:cs="Arial"/>
                <w:szCs w:val="20"/>
              </w:rPr>
              <w:t>) 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lastRenderedPageBreak/>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w:t>
            </w:r>
            <w:r w:rsidRPr="0093755D">
              <w:lastRenderedPageBreak/>
              <w:t xml:space="preserve">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9D6D12">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lastRenderedPageBreak/>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3816895C" w:rsidR="00A762D8" w:rsidRPr="00340087" w:rsidRDefault="00340087" w:rsidP="00471C88">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услуг по техническому обслуживанию </w:t>
            </w:r>
            <w:r w:rsidR="00471C88">
              <w:rPr>
                <w:rFonts w:ascii="Times New Roman" w:hAnsi="Times New Roman" w:cs="Times New Roman"/>
                <w:b w:val="0"/>
              </w:rPr>
              <w:t>средств пожарной сигнализации и системы речевого оповещения людей о пожаре</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w:t>
            </w:r>
            <w:r w:rsidRPr="00BF148A">
              <w:lastRenderedPageBreak/>
              <w:t xml:space="preserve">(максимальной)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lastRenderedPageBreak/>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D554E83" w14:textId="77777777" w:rsidR="00A762D8" w:rsidRDefault="00A762D8" w:rsidP="003D5076">
            <w:pPr>
              <w:pStyle w:val="a8"/>
            </w:pPr>
            <w:r w:rsidRPr="00BF148A">
              <w:t>Требование о соответствии поставляемого товара образцу или  макету, товара</w:t>
            </w:r>
          </w:p>
          <w:p w14:paraId="418E6116" w14:textId="76B65E87" w:rsidR="007B2185" w:rsidRPr="00BF148A" w:rsidRDefault="007B2185" w:rsidP="003D5076">
            <w:pPr>
              <w:pStyle w:val="a8"/>
            </w:pP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35A38B" w:rsidR="004F33AD" w:rsidRDefault="004F33AD" w:rsidP="004F33AD"/>
          <w:p w14:paraId="5FD0130A" w14:textId="77777777" w:rsidR="007B2185" w:rsidRPr="004F33AD" w:rsidRDefault="007B2185"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9D6D12">
            <w:pPr>
              <w:autoSpaceDE w:val="0"/>
              <w:autoSpaceDN w:val="0"/>
              <w:adjustRightInd w:val="0"/>
              <w:spacing w:after="0" w:line="240" w:lineRule="exact"/>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742D971D" w14:textId="77777777" w:rsidR="009D6D12" w:rsidRDefault="004E7774" w:rsidP="009D6D12">
            <w:pPr>
              <w:autoSpaceDE w:val="0"/>
              <w:autoSpaceDN w:val="0"/>
              <w:adjustRightInd w:val="0"/>
              <w:spacing w:after="0" w:line="240" w:lineRule="exact"/>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 xml:space="preserve">Об установлении запрета на допуск программного обеспечения, происходящего из иностранных </w:t>
            </w:r>
          </w:p>
          <w:p w14:paraId="3B0F25C9" w14:textId="77777777" w:rsidR="009D6D12" w:rsidRDefault="009D6D12" w:rsidP="009D6D12">
            <w:pPr>
              <w:autoSpaceDE w:val="0"/>
              <w:autoSpaceDN w:val="0"/>
              <w:adjustRightInd w:val="0"/>
              <w:spacing w:after="0" w:line="240" w:lineRule="exact"/>
              <w:rPr>
                <w:rFonts w:eastAsia="Calibri"/>
                <w:lang w:eastAsia="en-US"/>
              </w:rPr>
            </w:pPr>
          </w:p>
          <w:p w14:paraId="0AF943A8" w14:textId="72301E81" w:rsidR="004E7774" w:rsidRDefault="004E7774" w:rsidP="009D6D12">
            <w:pPr>
              <w:autoSpaceDE w:val="0"/>
              <w:autoSpaceDN w:val="0"/>
              <w:adjustRightInd w:val="0"/>
              <w:spacing w:after="0" w:line="240" w:lineRule="exact"/>
              <w:rPr>
                <w:rFonts w:eastAsia="Calibri"/>
                <w:lang w:eastAsia="en-US"/>
              </w:rPr>
            </w:pPr>
            <w:r w:rsidRPr="008D6416">
              <w:rPr>
                <w:rFonts w:eastAsia="Calibri"/>
                <w:lang w:eastAsia="en-US"/>
              </w:rPr>
              <w:t>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9D6D12">
            <w:pPr>
              <w:autoSpaceDE w:val="0"/>
              <w:autoSpaceDN w:val="0"/>
              <w:adjustRightInd w:val="0"/>
              <w:spacing w:after="0" w:line="240" w:lineRule="exact"/>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2C486B50" w:rsidR="004E7774" w:rsidRDefault="004E7774" w:rsidP="009D6D12">
            <w:pPr>
              <w:autoSpaceDE w:val="0"/>
              <w:autoSpaceDN w:val="0"/>
              <w:adjustRightInd w:val="0"/>
              <w:spacing w:after="0" w:line="240" w:lineRule="exact"/>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w:t>
            </w:r>
            <w:r w:rsidRPr="008D6416">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059EFBB9" w:rsidR="001E5896" w:rsidRDefault="004E7774" w:rsidP="009D6D12">
            <w:pPr>
              <w:autoSpaceDE w:val="0"/>
              <w:autoSpaceDN w:val="0"/>
              <w:adjustRightInd w:val="0"/>
              <w:spacing w:after="0" w:line="240" w:lineRule="exact"/>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5C618985" w:rsidR="00C77A46" w:rsidRDefault="00DE6E38" w:rsidP="009D6D12">
            <w:pPr>
              <w:autoSpaceDE w:val="0"/>
              <w:autoSpaceDN w:val="0"/>
              <w:adjustRightInd w:val="0"/>
              <w:spacing w:after="0" w:line="240" w:lineRule="exact"/>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12F257BF" w14:textId="56294B81" w:rsidR="009D6D12" w:rsidRPr="008D6416" w:rsidRDefault="00954B5C" w:rsidP="009D6D12">
            <w:pPr>
              <w:autoSpaceDE w:val="0"/>
              <w:autoSpaceDN w:val="0"/>
              <w:adjustRightInd w:val="0"/>
              <w:spacing w:after="0" w:line="240" w:lineRule="exact"/>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5761A96F" w14:textId="7D24E356" w:rsidR="009D6D12" w:rsidRPr="008D6416" w:rsidRDefault="00553D5F" w:rsidP="009D6D12">
            <w:pPr>
              <w:autoSpaceDE w:val="0"/>
              <w:autoSpaceDN w:val="0"/>
              <w:adjustRightInd w:val="0"/>
              <w:spacing w:after="0" w:line="240" w:lineRule="exact"/>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37DA4E1E" w14:textId="77777777" w:rsidR="009D6D12" w:rsidRDefault="00307F83" w:rsidP="009D6D12">
            <w:pPr>
              <w:autoSpaceDE w:val="0"/>
              <w:autoSpaceDN w:val="0"/>
              <w:adjustRightInd w:val="0"/>
              <w:spacing w:after="0" w:line="240" w:lineRule="exact"/>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w:t>
            </w:r>
          </w:p>
          <w:p w14:paraId="3D5992E5" w14:textId="45ADCE90" w:rsidR="00307F83" w:rsidRDefault="00307F83" w:rsidP="009D6D12">
            <w:pPr>
              <w:autoSpaceDE w:val="0"/>
              <w:autoSpaceDN w:val="0"/>
              <w:adjustRightInd w:val="0"/>
              <w:spacing w:after="0" w:line="240" w:lineRule="exact"/>
            </w:pPr>
            <w:r w:rsidRPr="008D6416">
              <w:t xml:space="preserve">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2F67D933" w14:textId="1B27F3ED" w:rsidR="00F648A9" w:rsidRPr="00F648A9" w:rsidRDefault="00F648A9" w:rsidP="009D6D12">
            <w:pPr>
              <w:autoSpaceDE w:val="0"/>
              <w:autoSpaceDN w:val="0"/>
              <w:adjustRightInd w:val="0"/>
              <w:spacing w:after="0" w:line="240" w:lineRule="exact"/>
            </w:pPr>
            <w:r w:rsidRPr="00F648A9">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F648A9">
              <w:t>Не установлено;</w:t>
            </w:r>
          </w:p>
          <w:p w14:paraId="1D7581B2" w14:textId="355596E8" w:rsidR="00F648A9" w:rsidRPr="008D6416" w:rsidRDefault="00F648A9" w:rsidP="009D6D12">
            <w:pPr>
              <w:autoSpaceDE w:val="0"/>
              <w:autoSpaceDN w:val="0"/>
              <w:adjustRightInd w:val="0"/>
              <w:spacing w:after="0" w:line="240" w:lineRule="exact"/>
            </w:pPr>
            <w:r w:rsidRPr="00F648A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t xml:space="preserve">ципальных нужд»: </w:t>
            </w:r>
            <w:r w:rsidRPr="00F648A9">
              <w:t>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9D6D12">
            <w:pPr>
              <w:pStyle w:val="ConsPlusNormal"/>
              <w:ind w:firstLine="34"/>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9D6D12">
            <w:pPr>
              <w:pStyle w:val="ConsPlusNormal"/>
              <w:ind w:firstLine="34"/>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5E52CBD0" w14:textId="77777777" w:rsidR="00F03247" w:rsidRDefault="00A762D8" w:rsidP="009D6D12">
            <w:pPr>
              <w:pStyle w:val="ConsPlusNormal"/>
              <w:ind w:firstLine="34"/>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w:t>
            </w:r>
          </w:p>
          <w:p w14:paraId="3C07089F" w14:textId="77777777" w:rsidR="00F03247" w:rsidRDefault="00F03247" w:rsidP="009D6D12">
            <w:pPr>
              <w:pStyle w:val="ConsPlusNormal"/>
              <w:ind w:firstLine="34"/>
              <w:jc w:val="both"/>
              <w:rPr>
                <w:rFonts w:ascii="Times New Roman" w:hAnsi="Times New Roman" w:cs="Times New Roman"/>
                <w:sz w:val="24"/>
                <w:szCs w:val="24"/>
              </w:rPr>
            </w:pPr>
          </w:p>
          <w:p w14:paraId="727D1520" w14:textId="77777777" w:rsidR="00F03247" w:rsidRDefault="00F03247" w:rsidP="009D6D12">
            <w:pPr>
              <w:pStyle w:val="ConsPlusNormal"/>
              <w:ind w:firstLine="34"/>
              <w:jc w:val="both"/>
              <w:rPr>
                <w:rFonts w:ascii="Times New Roman" w:hAnsi="Times New Roman" w:cs="Times New Roman"/>
                <w:sz w:val="24"/>
                <w:szCs w:val="24"/>
              </w:rPr>
            </w:pPr>
          </w:p>
          <w:p w14:paraId="186E7D0E" w14:textId="77777777" w:rsidR="00F03247" w:rsidRDefault="00F03247" w:rsidP="009D6D12">
            <w:pPr>
              <w:pStyle w:val="ConsPlusNormal"/>
              <w:ind w:firstLine="34"/>
              <w:jc w:val="both"/>
              <w:rPr>
                <w:rFonts w:ascii="Times New Roman" w:hAnsi="Times New Roman" w:cs="Times New Roman"/>
                <w:sz w:val="24"/>
                <w:szCs w:val="24"/>
              </w:rPr>
            </w:pPr>
          </w:p>
          <w:p w14:paraId="2ECFBCF3" w14:textId="7E9AEC77" w:rsidR="00A762D8" w:rsidRPr="00BF148A" w:rsidRDefault="00A762D8" w:rsidP="009D6D12">
            <w:pPr>
              <w:pStyle w:val="ConsPlusNormal"/>
              <w:ind w:firstLine="34"/>
              <w:jc w:val="both"/>
              <w:rPr>
                <w:rFonts w:ascii="Times New Roman" w:hAnsi="Times New Roman" w:cs="Times New Roman"/>
                <w:sz w:val="24"/>
                <w:szCs w:val="24"/>
              </w:rPr>
            </w:pPr>
            <w:r w:rsidRPr="00BF148A">
              <w:rPr>
                <w:rFonts w:ascii="Times New Roman" w:hAnsi="Times New Roman" w:cs="Times New Roman"/>
                <w:sz w:val="24"/>
                <w:szCs w:val="24"/>
              </w:rPr>
              <w:lastRenderedPageBreak/>
              <w:t xml:space="preserve">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w:t>
            </w:r>
            <w:r w:rsidRPr="00BF148A">
              <w:rPr>
                <w:rFonts w:ascii="Times New Roman" w:hAnsi="Times New Roman" w:cs="Times New Roman"/>
                <w:sz w:val="24"/>
                <w:szCs w:val="24"/>
              </w:rPr>
              <w:lastRenderedPageBreak/>
              <w:t xml:space="preserve">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5C6C45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6C51F3AD" w14:textId="2E824DEC"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Техническое обслуживание средств пожарной сигнализации и системы речевого оповещения людей о </w:t>
      </w:r>
      <w:r w:rsidR="00E13EFA" w:rsidRPr="003020AF">
        <w:rPr>
          <w:color w:val="000000"/>
          <w:spacing w:val="-6"/>
        </w:rPr>
        <w:t>пожаре включает</w:t>
      </w:r>
      <w:r w:rsidRPr="003020AF">
        <w:rPr>
          <w:color w:val="000000"/>
          <w:spacing w:val="-6"/>
        </w:rPr>
        <w:t xml:space="preserve"> в себя техническое обслуживание следующего оборудования:</w:t>
      </w:r>
    </w:p>
    <w:p w14:paraId="1EFE310E"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b/>
        </w:rPr>
        <w:t xml:space="preserve"> </w:t>
      </w:r>
      <w:r w:rsidRPr="003020AF">
        <w:rPr>
          <w:color w:val="000000"/>
          <w:spacing w:val="-6"/>
        </w:rPr>
        <w:t xml:space="preserve">1. МБОУ «Гимназия» ул. Мира, д 6  </w:t>
      </w:r>
    </w:p>
    <w:p w14:paraId="18ACADA5"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пульт контроля и управления С2000-М – 1 шт.</w:t>
      </w:r>
    </w:p>
    <w:p w14:paraId="338E585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извещение оптико-домовой С2000 – КДЛ – 4шт.</w:t>
      </w:r>
    </w:p>
    <w:p w14:paraId="76DF49A2"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сигнально пусковой блок С2000-СП 1 – 1 шт.</w:t>
      </w:r>
    </w:p>
    <w:p w14:paraId="6F18B1C0"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индикации С2000 – БИ – 2 шт.</w:t>
      </w:r>
    </w:p>
    <w:p w14:paraId="21681427"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контрольно-пусковой блок С2000 КПБ – 1 шт.</w:t>
      </w:r>
    </w:p>
    <w:p w14:paraId="30D9EA52"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адресный расширитель С2000АР 2 – 4 шт.</w:t>
      </w:r>
    </w:p>
    <w:p w14:paraId="32FF109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блок </w:t>
      </w:r>
      <w:proofErr w:type="spellStart"/>
      <w:r w:rsidRPr="003020AF">
        <w:rPr>
          <w:color w:val="000000"/>
          <w:spacing w:val="-6"/>
        </w:rPr>
        <w:t>разветвительно</w:t>
      </w:r>
      <w:proofErr w:type="spellEnd"/>
      <w:r w:rsidRPr="003020AF">
        <w:rPr>
          <w:color w:val="000000"/>
          <w:spacing w:val="-6"/>
        </w:rPr>
        <w:t>-изолирующий БРИЗ – 32 шт.</w:t>
      </w:r>
    </w:p>
    <w:p w14:paraId="7E2BA77F"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источник резервированного питания – СКАТ-UPS 1000 – 1 шт.</w:t>
      </w:r>
    </w:p>
    <w:p w14:paraId="6BC5BA01"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аккумуляторная ботарея12В 65А/ч – 1шт.</w:t>
      </w:r>
    </w:p>
    <w:p w14:paraId="1B7DB6C5"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устройство оконечное «СПИ» Фобос-3» - 1 шт.</w:t>
      </w:r>
    </w:p>
    <w:p w14:paraId="40D96787"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коробка коммутационная УК-2П – 320 шт.</w:t>
      </w:r>
    </w:p>
    <w:p w14:paraId="6F657637"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коробка коммутационная УК-ВК/2 – 2 шт.</w:t>
      </w:r>
    </w:p>
    <w:p w14:paraId="22750375"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w:t>
      </w:r>
      <w:proofErr w:type="spellStart"/>
      <w:r w:rsidRPr="003020AF">
        <w:rPr>
          <w:color w:val="000000"/>
          <w:spacing w:val="-6"/>
        </w:rPr>
        <w:t>извещатель</w:t>
      </w:r>
      <w:proofErr w:type="spellEnd"/>
      <w:r w:rsidRPr="003020AF">
        <w:rPr>
          <w:color w:val="000000"/>
          <w:spacing w:val="-6"/>
        </w:rPr>
        <w:t xml:space="preserve"> пожарный домовой адресный ДИП – 34А – 264 шт.</w:t>
      </w:r>
    </w:p>
    <w:p w14:paraId="7E12737F"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w:t>
      </w:r>
      <w:proofErr w:type="spellStart"/>
      <w:r w:rsidRPr="003020AF">
        <w:rPr>
          <w:color w:val="000000"/>
          <w:spacing w:val="-6"/>
        </w:rPr>
        <w:t>извещатель</w:t>
      </w:r>
      <w:proofErr w:type="spellEnd"/>
      <w:r w:rsidRPr="003020AF">
        <w:rPr>
          <w:color w:val="000000"/>
          <w:spacing w:val="-6"/>
        </w:rPr>
        <w:t xml:space="preserve"> пожарный ручной ИПР – 513-3А – 29 шт.</w:t>
      </w:r>
    </w:p>
    <w:p w14:paraId="24E5C0BB"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w:t>
      </w:r>
      <w:proofErr w:type="spellStart"/>
      <w:r w:rsidRPr="003020AF">
        <w:rPr>
          <w:color w:val="000000"/>
          <w:spacing w:val="-6"/>
        </w:rPr>
        <w:t>извещатель</w:t>
      </w:r>
      <w:proofErr w:type="spellEnd"/>
      <w:r w:rsidRPr="003020AF">
        <w:rPr>
          <w:color w:val="000000"/>
          <w:spacing w:val="-6"/>
        </w:rPr>
        <w:t xml:space="preserve"> пожарный тепловой адресный С2000 ИП – 11 шт.</w:t>
      </w:r>
    </w:p>
    <w:p w14:paraId="1D1F8780"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w:t>
      </w:r>
      <w:proofErr w:type="spellStart"/>
      <w:r w:rsidRPr="003020AF">
        <w:rPr>
          <w:color w:val="000000"/>
          <w:spacing w:val="-6"/>
        </w:rPr>
        <w:t>извещатель</w:t>
      </w:r>
      <w:proofErr w:type="spellEnd"/>
      <w:r w:rsidRPr="003020AF">
        <w:rPr>
          <w:color w:val="000000"/>
          <w:spacing w:val="-6"/>
        </w:rPr>
        <w:t xml:space="preserve"> оптико-электронный линейный СПЭК 2210 – 4 шт.</w:t>
      </w:r>
    </w:p>
    <w:p w14:paraId="5D9DEA80"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управления и индикации речевого оповещения ЦДП02-120 – 1 шт.</w:t>
      </w:r>
    </w:p>
    <w:p w14:paraId="0E3A28C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коммутации и контроля БКК 16-16 – 1 шт.</w:t>
      </w:r>
    </w:p>
    <w:p w14:paraId="683A88C5"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усилитель мощности 200ПП 030 М – 1 шт.</w:t>
      </w:r>
    </w:p>
    <w:p w14:paraId="289DD5CB"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усилитель мощности 600ПП 030 М – 2 шт.</w:t>
      </w:r>
    </w:p>
    <w:p w14:paraId="4A1F999F"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электропитания БРЖ 02-24- 1 шт.</w:t>
      </w:r>
    </w:p>
    <w:p w14:paraId="3955508A"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электропитания БРЖ 02-24/12- 2 шт.</w:t>
      </w:r>
    </w:p>
    <w:p w14:paraId="18FF8791"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пульт микрофонный настольный ПМН – 1 шт.</w:t>
      </w:r>
    </w:p>
    <w:p w14:paraId="1E007974"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панель ПС-4 – 1шт.</w:t>
      </w:r>
    </w:p>
    <w:p w14:paraId="13401E5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панель ПР-44 – 1 шт.</w:t>
      </w:r>
    </w:p>
    <w:p w14:paraId="1DD81F0F"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недельный таймер БТ-03-2/512-8  - 1 шт.</w:t>
      </w:r>
    </w:p>
    <w:p w14:paraId="072C522D"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шкаф коммутационный закрытый Н12(22U) – 10 – 1 шт.</w:t>
      </w:r>
    </w:p>
    <w:p w14:paraId="4A59460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блок согласования БТ01-30В – 1 шт.</w:t>
      </w:r>
    </w:p>
    <w:p w14:paraId="5DDFCDBC"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усилитель микшер 80ПП 026М – 1 шт.</w:t>
      </w:r>
    </w:p>
    <w:p w14:paraId="6DE48DAB"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блок интерфейса БИ01 – 1шт. </w:t>
      </w:r>
    </w:p>
    <w:p w14:paraId="741BDA4B"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громкоговоритель – 3/1АС100ПН (3Вт) – 32 шт.</w:t>
      </w:r>
    </w:p>
    <w:p w14:paraId="6B927524"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громкоговоритель – 6/3АС100ПН (6Вт) – 82 шт.</w:t>
      </w:r>
    </w:p>
    <w:p w14:paraId="6CA4D6B1"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громкоговоритель – 6/3АС100ПП (6Вт) – 79 шт.</w:t>
      </w:r>
    </w:p>
    <w:p w14:paraId="0ACD44CE"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громкоговоритель – 15/10/6АС100ПН (15Вт) – 10 шт.</w:t>
      </w:r>
    </w:p>
    <w:p w14:paraId="7FD55A17"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Объектовая станция "Стрелец-Мониторинг" и антенна выносная СМ 470.    </w:t>
      </w:r>
    </w:p>
    <w:p w14:paraId="36EE1A98" w14:textId="77777777" w:rsidR="003020AF" w:rsidRPr="003020AF" w:rsidRDefault="003020AF" w:rsidP="003020AF">
      <w:pPr>
        <w:shd w:val="clear" w:color="auto" w:fill="FFFFFF"/>
        <w:tabs>
          <w:tab w:val="left" w:pos="1085"/>
        </w:tabs>
        <w:spacing w:line="240" w:lineRule="exact"/>
        <w:rPr>
          <w:color w:val="000000"/>
          <w:spacing w:val="-6"/>
        </w:rPr>
      </w:pPr>
      <w:r w:rsidRPr="003020AF">
        <w:rPr>
          <w:color w:val="000000"/>
          <w:spacing w:val="-6"/>
        </w:rPr>
        <w:t>МБОУ «Гимназия» дошкольные группы  ул. Геологов, д 21</w:t>
      </w:r>
    </w:p>
    <w:p w14:paraId="45327E0D" w14:textId="77777777" w:rsidR="006B76CA" w:rsidRDefault="003020AF" w:rsidP="003020AF">
      <w:pPr>
        <w:shd w:val="clear" w:color="auto" w:fill="FFFFFF"/>
        <w:tabs>
          <w:tab w:val="left" w:pos="0"/>
        </w:tabs>
        <w:spacing w:line="240" w:lineRule="exact"/>
        <w:ind w:left="14" w:firstLine="412"/>
        <w:rPr>
          <w:color w:val="000000"/>
          <w:spacing w:val="-6"/>
        </w:rPr>
      </w:pPr>
      <w:r w:rsidRPr="003020AF">
        <w:rPr>
          <w:color w:val="000000"/>
          <w:spacing w:val="-6"/>
        </w:rPr>
        <w:t xml:space="preserve">Система  пожарная С2000. </w:t>
      </w:r>
    </w:p>
    <w:p w14:paraId="677F04F8" w14:textId="1B30CC03" w:rsidR="003020AF" w:rsidRPr="003020AF" w:rsidRDefault="003020AF" w:rsidP="003020AF">
      <w:pPr>
        <w:shd w:val="clear" w:color="auto" w:fill="FFFFFF"/>
        <w:tabs>
          <w:tab w:val="left" w:pos="0"/>
        </w:tabs>
        <w:spacing w:line="240" w:lineRule="exact"/>
        <w:ind w:left="14" w:firstLine="412"/>
        <w:rPr>
          <w:color w:val="000000"/>
          <w:spacing w:val="-6"/>
        </w:rPr>
      </w:pPr>
      <w:r w:rsidRPr="003020AF">
        <w:rPr>
          <w:color w:val="000000"/>
          <w:spacing w:val="-6"/>
        </w:rPr>
        <w:t>Объектовая станция " Стрелец-Мониторинг " и антенна выносная СМ 470.</w:t>
      </w:r>
    </w:p>
    <w:p w14:paraId="0EEE9070"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14:paraId="7127D334"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1.1.ТО (техническое обслуживание):</w:t>
      </w:r>
    </w:p>
    <w:p w14:paraId="1FDE6CC6"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14:paraId="32FFBD9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lastRenderedPageBreak/>
        <w:t>-проверка работоспособности - определение технического состояния путём контроля техническими средствами.</w:t>
      </w:r>
    </w:p>
    <w:p w14:paraId="18187B7C"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1.2. ППР (планово-предупредительный ремонт):</w:t>
      </w:r>
    </w:p>
    <w:p w14:paraId="7E45F7AB" w14:textId="3FB138A5"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w:t>
      </w:r>
      <w:r w:rsidR="006B76CA" w:rsidRPr="003020AF">
        <w:rPr>
          <w:color w:val="000000"/>
          <w:spacing w:val="-6"/>
        </w:rPr>
        <w:t>их элементов,</w:t>
      </w:r>
      <w:r w:rsidRPr="003020AF">
        <w:rPr>
          <w:color w:val="000000"/>
          <w:spacing w:val="-6"/>
        </w:rPr>
        <w:t xml:space="preserve">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14:paraId="5D3B6117" w14:textId="3706A2AC"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1.3. ТО и ППР должны производиться не реже одного раза в месяц. Измерение сопротивления защитного и рабочего заземл</w:t>
      </w:r>
      <w:r w:rsidR="00F03247">
        <w:rPr>
          <w:color w:val="000000"/>
          <w:spacing w:val="-6"/>
        </w:rPr>
        <w:t>ения – 1 раз (январь месяц) 2019</w:t>
      </w:r>
      <w:r w:rsidRPr="003020AF">
        <w:rPr>
          <w:color w:val="000000"/>
          <w:spacing w:val="-6"/>
        </w:rPr>
        <w:t xml:space="preserve"> года. Акт ТО предоставляется один раз в квартал (средств пожарной сигнализации, системы речевого оповещения и станции "Стрелец-Мониторинг").</w:t>
      </w:r>
    </w:p>
    <w:p w14:paraId="4A08A6DE" w14:textId="22CF6450"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1.4. ТО и ППР станции "Стрелец-Мониторинг" включает в себя контроль прохождения радиосигнала, мониторинг состояния объектового обо</w:t>
      </w:r>
      <w:r w:rsidR="006B76CA">
        <w:rPr>
          <w:color w:val="000000"/>
          <w:spacing w:val="-6"/>
        </w:rPr>
        <w:t xml:space="preserve">рудования, анализ ложных </w:t>
      </w:r>
      <w:proofErr w:type="spellStart"/>
      <w:r w:rsidR="006B76CA">
        <w:rPr>
          <w:color w:val="000000"/>
          <w:spacing w:val="-6"/>
        </w:rPr>
        <w:t>сработо</w:t>
      </w:r>
      <w:r w:rsidRPr="003020AF">
        <w:rPr>
          <w:color w:val="000000"/>
          <w:spacing w:val="-6"/>
        </w:rPr>
        <w:t>к</w:t>
      </w:r>
      <w:proofErr w:type="spellEnd"/>
      <w:r w:rsidRPr="003020AF">
        <w:rPr>
          <w:color w:val="000000"/>
          <w:spacing w:val="-6"/>
        </w:rPr>
        <w:t xml:space="preserve"> и не исправностей, обновление программного обеспечения и электронных карточек объектов заказчика, доступ </w:t>
      </w:r>
      <w:r w:rsidR="006B76CA" w:rsidRPr="003020AF">
        <w:rPr>
          <w:color w:val="000000"/>
          <w:spacing w:val="-6"/>
        </w:rPr>
        <w:t>к пультовому оборудованию,</w:t>
      </w:r>
      <w:r w:rsidRPr="003020AF">
        <w:rPr>
          <w:color w:val="000000"/>
          <w:spacing w:val="-6"/>
        </w:rPr>
        <w:t xml:space="preserve"> установленному на пульте к пожарной безопасности. </w:t>
      </w:r>
    </w:p>
    <w:p w14:paraId="48F6619F" w14:textId="03294CFC"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2. В случае сбоев или отказа в </w:t>
      </w:r>
      <w:r w:rsidR="006B76CA" w:rsidRPr="003020AF">
        <w:rPr>
          <w:color w:val="000000"/>
          <w:spacing w:val="-6"/>
        </w:rPr>
        <w:t>работе систем</w:t>
      </w:r>
      <w:r w:rsidRPr="003020AF">
        <w:rPr>
          <w:color w:val="000000"/>
          <w:spacing w:val="-6"/>
        </w:rPr>
        <w:t xml:space="preserve"> сигнализации в межрегламентный период, Исполнитель должен прибыть на обслуживаемый объект по вызову Заказчика в срок - не более 3 (трёх) часов. </w:t>
      </w:r>
    </w:p>
    <w:p w14:paraId="2F0BFBD6"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3.Исполнитель, независимо от формы поступившего от Заказчика вызова, должен регистрировать его в «Журнале учёта вызовов».</w:t>
      </w:r>
    </w:p>
    <w:p w14:paraId="79C909DE"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14:paraId="308C94A4" w14:textId="0AA623AD"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w:t>
      </w:r>
      <w:r w:rsidR="006B76CA" w:rsidRPr="003020AF">
        <w:rPr>
          <w:color w:val="000000"/>
          <w:spacing w:val="-6"/>
        </w:rPr>
        <w:t>в срок,</w:t>
      </w:r>
      <w:r w:rsidRPr="003020AF">
        <w:rPr>
          <w:color w:val="000000"/>
          <w:spacing w:val="-6"/>
        </w:rPr>
        <w:t xml:space="preserve"> установленный Заказчиком. </w:t>
      </w:r>
    </w:p>
    <w:p w14:paraId="1C2F2F52"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Порядок сдачи и приёмки работ</w:t>
      </w:r>
    </w:p>
    <w:p w14:paraId="59372B2A"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Работоспособность систем и контроль качества проведения ТО и ППР осуществляется Заказчиком.</w:t>
      </w:r>
    </w:p>
    <w:p w14:paraId="347FC3F3" w14:textId="77777777" w:rsidR="003020AF" w:rsidRPr="003020AF" w:rsidRDefault="003020AF" w:rsidP="003020AF">
      <w:pPr>
        <w:shd w:val="clear" w:color="auto" w:fill="FFFFFF"/>
        <w:tabs>
          <w:tab w:val="left" w:pos="1085"/>
        </w:tabs>
        <w:spacing w:line="240" w:lineRule="exact"/>
        <w:ind w:left="14" w:firstLine="412"/>
        <w:rPr>
          <w:color w:val="000000"/>
          <w:spacing w:val="-6"/>
        </w:rPr>
      </w:pPr>
      <w:r w:rsidRPr="003020AF">
        <w:rPr>
          <w:color w:val="000000"/>
          <w:spacing w:val="-6"/>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14:paraId="248D0504" w14:textId="77777777" w:rsidR="003020AF" w:rsidRPr="003020AF" w:rsidRDefault="003020AF" w:rsidP="003020AF">
      <w:pPr>
        <w:tabs>
          <w:tab w:val="left" w:pos="9356"/>
        </w:tabs>
        <w:ind w:firstLine="412"/>
      </w:pPr>
    </w:p>
    <w:p w14:paraId="510625B8" w14:textId="77777777" w:rsidR="003020AF" w:rsidRPr="003020AF" w:rsidRDefault="003020AF" w:rsidP="003020AF">
      <w:pPr>
        <w:tabs>
          <w:tab w:val="left" w:pos="9356"/>
        </w:tabs>
        <w:ind w:firstLine="412"/>
      </w:pPr>
      <w:r w:rsidRPr="003020AF">
        <w:t>.</w:t>
      </w:r>
    </w:p>
    <w:p w14:paraId="73E1F7AE" w14:textId="77777777" w:rsidR="003020AF" w:rsidRPr="003020AF" w:rsidRDefault="003020AF" w:rsidP="003020AF">
      <w:pPr>
        <w:tabs>
          <w:tab w:val="left" w:pos="9356"/>
        </w:tabs>
        <w:ind w:firstLine="412"/>
      </w:pPr>
    </w:p>
    <w:tbl>
      <w:tblPr>
        <w:tblW w:w="10452" w:type="dxa"/>
        <w:tblInd w:w="146" w:type="dxa"/>
        <w:tblLook w:val="00A0" w:firstRow="1" w:lastRow="0" w:firstColumn="1" w:lastColumn="0" w:noHBand="0" w:noVBand="0"/>
      </w:tblPr>
      <w:tblGrid>
        <w:gridCol w:w="5207"/>
        <w:gridCol w:w="5245"/>
      </w:tblGrid>
      <w:tr w:rsidR="003020AF" w:rsidRPr="003020AF" w14:paraId="7CAF0B3E" w14:textId="77777777" w:rsidTr="009D6D12">
        <w:tc>
          <w:tcPr>
            <w:tcW w:w="5207" w:type="dxa"/>
            <w:hideMark/>
          </w:tcPr>
          <w:p w14:paraId="3EE7C75F" w14:textId="77777777" w:rsidR="003020AF" w:rsidRPr="003020AF" w:rsidRDefault="003020AF" w:rsidP="003020AF">
            <w:pPr>
              <w:spacing w:after="0"/>
              <w:ind w:firstLine="412"/>
            </w:pPr>
            <w:r w:rsidRPr="003020AF">
              <w:t>Заказчик:</w:t>
            </w:r>
          </w:p>
          <w:p w14:paraId="5CD85669" w14:textId="77777777" w:rsidR="003020AF" w:rsidRPr="003020AF" w:rsidRDefault="003020AF" w:rsidP="003020AF">
            <w:pPr>
              <w:spacing w:after="0"/>
              <w:ind w:firstLine="412"/>
            </w:pPr>
            <w:r w:rsidRPr="003020AF">
              <w:t>МБОУ «Гимназия»</w:t>
            </w:r>
          </w:p>
          <w:p w14:paraId="7277DE3F" w14:textId="77777777" w:rsidR="003020AF" w:rsidRPr="003020AF" w:rsidRDefault="003020AF" w:rsidP="003020AF">
            <w:pPr>
              <w:spacing w:after="0"/>
              <w:ind w:firstLine="412"/>
            </w:pPr>
          </w:p>
        </w:tc>
        <w:tc>
          <w:tcPr>
            <w:tcW w:w="5245" w:type="dxa"/>
          </w:tcPr>
          <w:p w14:paraId="7B960A7F" w14:textId="77777777" w:rsidR="003020AF" w:rsidRPr="003020AF" w:rsidRDefault="003020AF" w:rsidP="003020AF">
            <w:pPr>
              <w:spacing w:after="0"/>
              <w:ind w:firstLine="412"/>
            </w:pPr>
            <w:r w:rsidRPr="003020AF">
              <w:t>Исполнитель:</w:t>
            </w:r>
          </w:p>
          <w:p w14:paraId="461DB4D4" w14:textId="77777777" w:rsidR="003020AF" w:rsidRPr="003020AF" w:rsidRDefault="003020AF" w:rsidP="003020AF">
            <w:pPr>
              <w:spacing w:after="0"/>
              <w:ind w:firstLine="412"/>
            </w:pPr>
          </w:p>
        </w:tc>
      </w:tr>
      <w:tr w:rsidR="003020AF" w:rsidRPr="003020AF" w14:paraId="6926CD99" w14:textId="77777777" w:rsidTr="009D6D12">
        <w:tc>
          <w:tcPr>
            <w:tcW w:w="5207" w:type="dxa"/>
          </w:tcPr>
          <w:p w14:paraId="624F4EBF" w14:textId="77777777" w:rsidR="003020AF" w:rsidRPr="003020AF" w:rsidRDefault="003020AF" w:rsidP="003020AF">
            <w:pPr>
              <w:spacing w:after="0"/>
              <w:ind w:firstLine="412"/>
            </w:pPr>
            <w:r w:rsidRPr="003020AF">
              <w:t xml:space="preserve"> Директор ____________ В.В. Погребняк</w:t>
            </w:r>
          </w:p>
          <w:p w14:paraId="178CCDBB" w14:textId="77777777" w:rsidR="003020AF" w:rsidRPr="003020AF" w:rsidRDefault="003020AF" w:rsidP="003020AF">
            <w:pPr>
              <w:spacing w:after="0"/>
              <w:ind w:firstLine="412"/>
            </w:pPr>
          </w:p>
        </w:tc>
        <w:tc>
          <w:tcPr>
            <w:tcW w:w="5245" w:type="dxa"/>
            <w:hideMark/>
          </w:tcPr>
          <w:p w14:paraId="0FBD3855" w14:textId="77777777" w:rsidR="003020AF" w:rsidRPr="003020AF" w:rsidRDefault="003020AF" w:rsidP="003020AF">
            <w:pPr>
              <w:spacing w:after="0"/>
              <w:ind w:firstLine="412"/>
            </w:pPr>
            <w:r w:rsidRPr="003020AF">
              <w:t xml:space="preserve">Директор_____________ </w:t>
            </w:r>
          </w:p>
        </w:tc>
      </w:tr>
    </w:tbl>
    <w:p w14:paraId="20B5CEEC" w14:textId="174C4EC7" w:rsidR="001D5AA7" w:rsidRPr="003020AF" w:rsidRDefault="001D5AA7" w:rsidP="003020AF">
      <w:pPr>
        <w:pStyle w:val="ConsPlusNormal"/>
        <w:widowControl/>
        <w:tabs>
          <w:tab w:val="left" w:pos="360"/>
        </w:tabs>
        <w:spacing w:before="120" w:after="120"/>
        <w:ind w:firstLine="412"/>
        <w:rPr>
          <w:rFonts w:ascii="Times New Roman" w:hAnsi="Times New Roman" w:cs="Times New Roman"/>
          <w:b/>
          <w:bCs/>
          <w:sz w:val="24"/>
          <w:szCs w:val="24"/>
        </w:rPr>
      </w:pPr>
      <w:bookmarkStart w:id="39" w:name="_Ref353189530"/>
    </w:p>
    <w:p w14:paraId="6576ECDA" w14:textId="1894A6B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19CCCDA4" w14:textId="42A2EAD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7F184DEF" w14:textId="69DA9C2F"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02A69B7B" w14:textId="56BB44C4"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6949E59F" w14:textId="0A4CB48B"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BB6F5F0" w14:textId="77777777" w:rsidR="006B76CA" w:rsidRDefault="006B76CA" w:rsidP="001D5AA7">
      <w:pPr>
        <w:pStyle w:val="ConsPlusNormal"/>
        <w:widowControl/>
        <w:tabs>
          <w:tab w:val="left" w:pos="360"/>
        </w:tabs>
        <w:spacing w:before="120" w:after="120"/>
        <w:ind w:firstLine="0"/>
        <w:rPr>
          <w:rFonts w:ascii="Times New Roman" w:hAnsi="Times New Roman" w:cs="Times New Roman"/>
          <w:b/>
          <w:bCs/>
          <w:sz w:val="24"/>
          <w:szCs w:val="24"/>
        </w:rPr>
      </w:pPr>
    </w:p>
    <w:p w14:paraId="0FC64BAA" w14:textId="01BB7D2B" w:rsidR="003020AF" w:rsidRDefault="003020AF" w:rsidP="001D5AA7">
      <w:pPr>
        <w:pStyle w:val="ConsPlusNormal"/>
        <w:widowControl/>
        <w:tabs>
          <w:tab w:val="left" w:pos="360"/>
        </w:tabs>
        <w:spacing w:before="120" w:after="120"/>
        <w:ind w:firstLine="0"/>
        <w:rPr>
          <w:rFonts w:ascii="Times New Roman" w:hAnsi="Times New Roman" w:cs="Times New Roman"/>
          <w:b/>
          <w:bCs/>
          <w:sz w:val="24"/>
          <w:szCs w:val="24"/>
        </w:rPr>
      </w:pPr>
    </w:p>
    <w:p w14:paraId="10BD7F57" w14:textId="37E2DA80" w:rsidR="003020AF" w:rsidRDefault="003020AF" w:rsidP="001D5AA7">
      <w:pPr>
        <w:pStyle w:val="ConsPlusNormal"/>
        <w:widowControl/>
        <w:tabs>
          <w:tab w:val="left" w:pos="360"/>
        </w:tabs>
        <w:spacing w:before="120" w:after="120"/>
        <w:ind w:firstLine="0"/>
        <w:rPr>
          <w:rFonts w:ascii="Times New Roman" w:hAnsi="Times New Roman" w:cs="Times New Roman"/>
          <w:b/>
          <w:bCs/>
          <w:sz w:val="24"/>
          <w:szCs w:val="24"/>
        </w:r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197306C0"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УСЛУГ ПО ТЕХНИЧЕСКОМУ ОБСЛУЖИВАНИЮ </w:t>
      </w:r>
      <w:r w:rsidR="006B76CA">
        <w:rPr>
          <w:caps/>
          <w:sz w:val="22"/>
          <w:szCs w:val="22"/>
        </w:rPr>
        <w:t>СРЕДСТВ ПОЖАРНОЙ СИГНАЛИЗАЦИИ И СИСТЕМЫ РЕЧЕВОГО ОПОВЕЩЕНИЯ ЛЮДЕЙ О ПОЖАРЕ.</w:t>
      </w:r>
    </w:p>
    <w:p w14:paraId="45EDC1B0" w14:textId="2EED2834" w:rsidR="001D5AA7" w:rsidRPr="00C46D9F" w:rsidRDefault="001D5AA7" w:rsidP="001D5AA7">
      <w:pPr>
        <w:spacing w:after="0"/>
        <w:jc w:val="center"/>
        <w:rPr>
          <w:caps/>
          <w:sz w:val="22"/>
          <w:szCs w:val="22"/>
        </w:rPr>
      </w:pPr>
      <w:r>
        <w:rPr>
          <w:caps/>
          <w:sz w:val="22"/>
          <w:szCs w:val="22"/>
        </w:rPr>
        <w:t>ИДЕНТИФИКАЦИОННЫЙ КОД ЗА</w:t>
      </w:r>
      <w:r w:rsidR="006B76CA">
        <w:rPr>
          <w:caps/>
          <w:sz w:val="22"/>
          <w:szCs w:val="22"/>
        </w:rPr>
        <w:t>КУПКИ:18386220010118622010010005001802</w:t>
      </w:r>
      <w:r>
        <w:rPr>
          <w:caps/>
          <w:sz w:val="22"/>
          <w:szCs w:val="22"/>
        </w:rPr>
        <w:t>0000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7BAF3A63" w:rsidR="006B3E00" w:rsidRPr="006B3E00" w:rsidRDefault="006B3E00" w:rsidP="006B3E00">
      <w:pPr>
        <w:spacing w:after="0"/>
        <w:ind w:firstLine="709"/>
        <w:rPr>
          <w:color w:val="000000"/>
        </w:rPr>
      </w:pPr>
      <w:r w:rsidRPr="006B3E00">
        <w:rPr>
          <w:color w:val="000000"/>
        </w:rPr>
        <w:t xml:space="preserve">1.1. </w:t>
      </w:r>
      <w:r w:rsidRPr="006B3E00">
        <w:rPr>
          <w:bCs/>
          <w:color w:val="000000"/>
        </w:rPr>
        <w:t xml:space="preserve">Исполнитель обязуется своевременно </w:t>
      </w:r>
      <w:r w:rsidRPr="006B3E00">
        <w:rPr>
          <w:b/>
          <w:bCs/>
        </w:rPr>
        <w:t xml:space="preserve">оказать услуги по техническому обслуживанию </w:t>
      </w:r>
      <w:r w:rsidR="006B76CA">
        <w:rPr>
          <w:b/>
          <w:bCs/>
        </w:rPr>
        <w:t>средств пожарной сигнализации речевого оповещения людей о пожаре</w:t>
      </w:r>
      <w:r w:rsidRPr="006B3E00">
        <w:t>, а Заказчик</w:t>
      </w:r>
      <w:r w:rsidRPr="006B3E00">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4566C2EA" w:rsidR="006B3E00" w:rsidRPr="000B5133" w:rsidRDefault="006B3E00" w:rsidP="006B3E00">
      <w:pPr>
        <w:widowControl w:val="0"/>
        <w:autoSpaceDE w:val="0"/>
        <w:autoSpaceDN w:val="0"/>
        <w:adjustRightInd w:val="0"/>
        <w:spacing w:after="0"/>
      </w:pPr>
      <w:r w:rsidRPr="000B5133">
        <w:t>Источник финансировани</w:t>
      </w:r>
      <w:r w:rsidR="00F03247">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lastRenderedPageBreak/>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4A8752B3"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Pr="000B5133">
        <w:rPr>
          <w:i/>
        </w:rPr>
        <w:t xml:space="preserve"> </w:t>
      </w:r>
      <w:r w:rsidR="00F03247">
        <w:rPr>
          <w:i/>
        </w:rPr>
        <w:t xml:space="preserve">рабочих </w:t>
      </w:r>
      <w:r w:rsidRPr="000B5133">
        <w:rPr>
          <w:i/>
        </w:rPr>
        <w:t xml:space="preserve">дней </w:t>
      </w:r>
      <w:r w:rsidRPr="000B5133">
        <w:t>с даты подписания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6CD1948B"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F03247">
        <w:rPr>
          <w:u w:val="single"/>
        </w:rPr>
        <w:t xml:space="preserve">, но не ранее 01 января 2019г. </w:t>
      </w:r>
      <w:r w:rsidR="00710C2D" w:rsidRPr="000B5133">
        <w:rPr>
          <w:u w:val="single"/>
        </w:rPr>
        <w:t xml:space="preserve">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lastRenderedPageBreak/>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E83C05">
      <w:pPr>
        <w:shd w:val="clear" w:color="auto" w:fill="FFFFFF"/>
        <w:tabs>
          <w:tab w:val="left" w:pos="1498"/>
        </w:tabs>
        <w:ind w:left="86" w:firstLine="623"/>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E83C05">
      <w:pPr>
        <w:shd w:val="clear" w:color="auto" w:fill="FFFFFF"/>
        <w:tabs>
          <w:tab w:val="left" w:pos="1498"/>
        </w:tabs>
        <w:ind w:left="86" w:firstLine="623"/>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w:t>
      </w:r>
      <w:r w:rsidRPr="000B5133">
        <w:lastRenderedPageBreak/>
        <w:t>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17"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18" w:history="1">
        <w:r w:rsidRPr="000B5133">
          <w:rPr>
            <w:b/>
            <w:i/>
            <w:color w:val="0000FF"/>
            <w:u w:val="single"/>
          </w:rPr>
          <w:t>№ОГ-Д28-3630</w:t>
        </w:r>
      </w:hyperlink>
      <w:r w:rsidRPr="000B5133">
        <w:rPr>
          <w:b/>
          <w:i/>
        </w:rPr>
        <w:t xml:space="preserve">, от 02.10.2015 </w:t>
      </w:r>
      <w:hyperlink r:id="rId19" w:history="1">
        <w:r w:rsidRPr="000B5133">
          <w:rPr>
            <w:b/>
            <w:i/>
            <w:color w:val="0000FF"/>
            <w:u w:val="single"/>
          </w:rPr>
          <w:t>№ОГ-Д28-12800</w:t>
        </w:r>
      </w:hyperlink>
      <w:r w:rsidRPr="000B5133">
        <w:rPr>
          <w:b/>
          <w:i/>
        </w:rPr>
        <w:t xml:space="preserve">, от 21.09.2015 </w:t>
      </w:r>
      <w:hyperlink r:id="rId20"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5B41F217"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CE5809">
        <w:rPr>
          <w:b/>
          <w:u w:val="single"/>
        </w:rPr>
        <w:t>2 820</w:t>
      </w:r>
      <w:r w:rsidRPr="000B5133">
        <w:rPr>
          <w:b/>
          <w:u w:val="single"/>
        </w:rPr>
        <w:t xml:space="preserve"> (</w:t>
      </w:r>
      <w:r w:rsidR="00CE5809">
        <w:rPr>
          <w:b/>
          <w:u w:val="single"/>
        </w:rPr>
        <w:t>Две тысячи восемьсот двадцать</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lastRenderedPageBreak/>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77777777"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Pr="000B5133">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70F22C29" w14:textId="77777777" w:rsidR="00852AFD" w:rsidRPr="00852AFD" w:rsidRDefault="009C285F" w:rsidP="00852AFD">
      <w:pPr>
        <w:autoSpaceDE w:val="0"/>
        <w:autoSpaceDN w:val="0"/>
        <w:adjustRightInd w:val="0"/>
      </w:pPr>
      <w:bookmarkStart w:id="44" w:name="P57"/>
      <w:bookmarkEnd w:id="44"/>
      <w:r w:rsidRPr="00852AFD">
        <w:t xml:space="preserve">7.3. </w:t>
      </w:r>
      <w:r w:rsidR="00852AFD" w:rsidRPr="00852AFD">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2AFD" w:rsidRPr="00852AFD">
        <w:rPr>
          <w:rStyle w:val="ab"/>
        </w:rPr>
        <w:footnoteReference w:id="2"/>
      </w:r>
      <w:r w:rsidR="00852AFD" w:rsidRPr="00852AFD">
        <w:t>, что составляет ______ (_______________) рублей __ копеек.</w:t>
      </w:r>
    </w:p>
    <w:p w14:paraId="43309680" w14:textId="7D52EA44" w:rsidR="009C285F" w:rsidRPr="000B5133" w:rsidRDefault="009C285F" w:rsidP="009C285F">
      <w:pPr>
        <w:autoSpaceDE w:val="0"/>
        <w:autoSpaceDN w:val="0"/>
        <w:adjustRightInd w:val="0"/>
        <w:spacing w:after="0"/>
      </w:pPr>
      <w:r w:rsidRPr="000B5133">
        <w:lastRenderedPageBreak/>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lastRenderedPageBreak/>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w:t>
      </w:r>
      <w:r w:rsidRPr="000B5133">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lastRenderedPageBreak/>
        <w:t>11.Срок действия Договора</w:t>
      </w:r>
    </w:p>
    <w:p w14:paraId="2511A85A" w14:textId="1CBB7B82" w:rsidR="0063672C" w:rsidRPr="000B5133" w:rsidRDefault="0063672C" w:rsidP="0063672C">
      <w:pPr>
        <w:spacing w:after="0"/>
      </w:pPr>
      <w:r w:rsidRPr="000B5133">
        <w:t>11.1. Договор вступает в силу со дня подписания его Сторонам</w:t>
      </w:r>
      <w:r w:rsidR="00742113" w:rsidRPr="000B5133">
        <w:t>и</w:t>
      </w:r>
      <w:r w:rsidR="006B5705">
        <w:t>, но не ранее 01 января 2019 года</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Югорска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4F6356F9" w14:textId="77777777" w:rsidR="000808DC" w:rsidRPr="000808DC" w:rsidRDefault="000808DC" w:rsidP="000808DC">
      <w:pPr>
        <w:spacing w:after="0"/>
        <w:jc w:val="right"/>
        <w:rPr>
          <w:sz w:val="22"/>
          <w:szCs w:val="22"/>
        </w:rPr>
      </w:pPr>
      <w:r w:rsidRPr="000808DC">
        <w:rPr>
          <w:sz w:val="22"/>
          <w:szCs w:val="22"/>
        </w:rPr>
        <w:t>Приложение № 1</w:t>
      </w:r>
    </w:p>
    <w:p w14:paraId="310C6586" w14:textId="77777777" w:rsidR="000808DC" w:rsidRPr="000808DC" w:rsidRDefault="000808DC" w:rsidP="000808DC">
      <w:pPr>
        <w:autoSpaceDE w:val="0"/>
        <w:autoSpaceDN w:val="0"/>
        <w:adjustRightInd w:val="0"/>
        <w:spacing w:after="0"/>
        <w:jc w:val="right"/>
        <w:rPr>
          <w:sz w:val="22"/>
          <w:szCs w:val="22"/>
        </w:rPr>
      </w:pPr>
      <w:r w:rsidRPr="000808DC">
        <w:rPr>
          <w:sz w:val="22"/>
          <w:szCs w:val="22"/>
        </w:rPr>
        <w:t>к гражданско-правовому договору</w:t>
      </w:r>
    </w:p>
    <w:p w14:paraId="439FA211" w14:textId="77777777" w:rsidR="000808DC" w:rsidRPr="000808DC" w:rsidRDefault="000808DC" w:rsidP="000808DC">
      <w:pPr>
        <w:autoSpaceDE w:val="0"/>
        <w:autoSpaceDN w:val="0"/>
        <w:adjustRightInd w:val="0"/>
        <w:spacing w:after="0"/>
        <w:jc w:val="right"/>
        <w:rPr>
          <w:rFonts w:ascii="Arial" w:hAnsi="Arial" w:cs="Arial"/>
          <w:b/>
          <w:bCs/>
          <w:sz w:val="22"/>
          <w:szCs w:val="22"/>
        </w:rPr>
      </w:pPr>
      <w:r w:rsidRPr="000808DC">
        <w:rPr>
          <w:sz w:val="22"/>
          <w:szCs w:val="22"/>
        </w:rPr>
        <w:t xml:space="preserve"> </w:t>
      </w:r>
      <w:r w:rsidRPr="000808DC">
        <w:rPr>
          <w:rFonts w:ascii="Arial" w:hAnsi="Arial" w:cs="Arial"/>
          <w:sz w:val="22"/>
          <w:szCs w:val="22"/>
        </w:rPr>
        <w:t>№ _____________________</w:t>
      </w:r>
    </w:p>
    <w:p w14:paraId="5E193E97" w14:textId="79BD6647" w:rsidR="000808DC" w:rsidRPr="000808DC" w:rsidRDefault="000B5133" w:rsidP="000808DC">
      <w:pPr>
        <w:jc w:val="right"/>
        <w:rPr>
          <w:sz w:val="22"/>
          <w:szCs w:val="22"/>
        </w:rPr>
      </w:pPr>
      <w:r>
        <w:rPr>
          <w:sz w:val="22"/>
          <w:szCs w:val="22"/>
        </w:rPr>
        <w:t>от "__" _____________ 201</w:t>
      </w:r>
      <w:r w:rsidR="007C060F">
        <w:rPr>
          <w:sz w:val="22"/>
          <w:szCs w:val="22"/>
        </w:rPr>
        <w:t>8</w:t>
      </w:r>
      <w:r w:rsidR="000808DC" w:rsidRPr="000808DC">
        <w:rPr>
          <w:sz w:val="22"/>
          <w:szCs w:val="22"/>
        </w:rPr>
        <w:t xml:space="preserve"> г.</w:t>
      </w:r>
    </w:p>
    <w:p w14:paraId="09830D96" w14:textId="77777777" w:rsidR="000808DC" w:rsidRPr="000808DC" w:rsidRDefault="000808DC" w:rsidP="000808DC">
      <w:pPr>
        <w:spacing w:after="0"/>
        <w:ind w:firstLine="709"/>
        <w:rPr>
          <w:sz w:val="22"/>
          <w:szCs w:val="22"/>
        </w:rPr>
      </w:pPr>
    </w:p>
    <w:p w14:paraId="03ACE819" w14:textId="77777777" w:rsidR="000808DC" w:rsidRPr="000808DC" w:rsidRDefault="000808DC" w:rsidP="000808DC">
      <w:pPr>
        <w:spacing w:after="0"/>
        <w:ind w:firstLine="709"/>
        <w:jc w:val="center"/>
        <w:rPr>
          <w:sz w:val="22"/>
          <w:szCs w:val="22"/>
        </w:rPr>
      </w:pPr>
      <w:r w:rsidRPr="000808DC">
        <w:rPr>
          <w:sz w:val="22"/>
          <w:szCs w:val="22"/>
        </w:rPr>
        <w:t>ТЕХНИЧЕСКОЕ ЗАДАНИЕ</w:t>
      </w:r>
    </w:p>
    <w:p w14:paraId="1B50A7D4" w14:textId="77777777" w:rsidR="000808DC" w:rsidRPr="000808DC" w:rsidRDefault="000808DC" w:rsidP="000808DC">
      <w:pPr>
        <w:spacing w:after="0"/>
        <w:ind w:firstLine="709"/>
        <w:jc w:val="center"/>
        <w:rPr>
          <w:sz w:val="22"/>
          <w:szCs w:val="22"/>
        </w:rPr>
      </w:pPr>
    </w:p>
    <w:p w14:paraId="1F08CA7B"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14:paraId="2F4C97A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b/>
        </w:rPr>
        <w:t xml:space="preserve"> </w:t>
      </w:r>
      <w:r w:rsidRPr="00952B0F">
        <w:rPr>
          <w:color w:val="000000"/>
          <w:spacing w:val="-6"/>
        </w:rPr>
        <w:t xml:space="preserve">1. МБОУ «Гимназия» ул. Мира, д 6  </w:t>
      </w:r>
    </w:p>
    <w:p w14:paraId="286248F2"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пульт контроля и управления С2000-М – 1 шт.</w:t>
      </w:r>
    </w:p>
    <w:p w14:paraId="5D9521A3"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извещение оптико-домовой С2000 – КДЛ – 4шт.</w:t>
      </w:r>
    </w:p>
    <w:p w14:paraId="3D384D1F"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сигнально пусковой блок С2000-СП 1 – 1 шт.</w:t>
      </w:r>
    </w:p>
    <w:p w14:paraId="33F36F1C"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индикации С2000 – БИ – 2 шт.</w:t>
      </w:r>
    </w:p>
    <w:p w14:paraId="1CFA5EA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контрольно-пусковой блок С2000 КПБ – 1 шт.</w:t>
      </w:r>
    </w:p>
    <w:p w14:paraId="4C0D6868"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адресный расширитель С2000АР 2 – 4 шт.</w:t>
      </w:r>
    </w:p>
    <w:p w14:paraId="396B4BC7"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блок </w:t>
      </w:r>
      <w:proofErr w:type="spellStart"/>
      <w:r w:rsidRPr="00952B0F">
        <w:rPr>
          <w:color w:val="000000"/>
          <w:spacing w:val="-6"/>
        </w:rPr>
        <w:t>разветвительно</w:t>
      </w:r>
      <w:proofErr w:type="spellEnd"/>
      <w:r w:rsidRPr="00952B0F">
        <w:rPr>
          <w:color w:val="000000"/>
          <w:spacing w:val="-6"/>
        </w:rPr>
        <w:t>-изолирующий БРИЗ – 32 шт.</w:t>
      </w:r>
    </w:p>
    <w:p w14:paraId="6446DDA5"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источник резервированного питания – СКАТ-UPS 1000 – 1 шт.</w:t>
      </w:r>
    </w:p>
    <w:p w14:paraId="0DB1E04E"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аккумуляторная ботарея12В 65А/ч – 1шт.</w:t>
      </w:r>
    </w:p>
    <w:p w14:paraId="7BF6D03F"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устройство оконечное «СПИ» Фобос-3» - 1 шт.</w:t>
      </w:r>
    </w:p>
    <w:p w14:paraId="469FFEC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коробка коммутационная УК-2П – 320 шт.</w:t>
      </w:r>
    </w:p>
    <w:p w14:paraId="02FD850A"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коробка коммутационная УК-ВК/2 – 2 шт.</w:t>
      </w:r>
    </w:p>
    <w:p w14:paraId="52E59052"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w:t>
      </w:r>
      <w:proofErr w:type="spellStart"/>
      <w:r w:rsidRPr="00952B0F">
        <w:rPr>
          <w:color w:val="000000"/>
          <w:spacing w:val="-6"/>
        </w:rPr>
        <w:t>извещатель</w:t>
      </w:r>
      <w:proofErr w:type="spellEnd"/>
      <w:r w:rsidRPr="00952B0F">
        <w:rPr>
          <w:color w:val="000000"/>
          <w:spacing w:val="-6"/>
        </w:rPr>
        <w:t xml:space="preserve"> пожарный домовой адресный ДИП – 34А – 264 шт.</w:t>
      </w:r>
    </w:p>
    <w:p w14:paraId="4BDE82C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w:t>
      </w:r>
      <w:proofErr w:type="spellStart"/>
      <w:r w:rsidRPr="00952B0F">
        <w:rPr>
          <w:color w:val="000000"/>
          <w:spacing w:val="-6"/>
        </w:rPr>
        <w:t>извещатель</w:t>
      </w:r>
      <w:proofErr w:type="spellEnd"/>
      <w:r w:rsidRPr="00952B0F">
        <w:rPr>
          <w:color w:val="000000"/>
          <w:spacing w:val="-6"/>
        </w:rPr>
        <w:t xml:space="preserve"> пожарный ручной ИПР – 513-3А – 29 шт.</w:t>
      </w:r>
    </w:p>
    <w:p w14:paraId="324B760A"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w:t>
      </w:r>
      <w:proofErr w:type="spellStart"/>
      <w:r w:rsidRPr="00952B0F">
        <w:rPr>
          <w:color w:val="000000"/>
          <w:spacing w:val="-6"/>
        </w:rPr>
        <w:t>извещатель</w:t>
      </w:r>
      <w:proofErr w:type="spellEnd"/>
      <w:r w:rsidRPr="00952B0F">
        <w:rPr>
          <w:color w:val="000000"/>
          <w:spacing w:val="-6"/>
        </w:rPr>
        <w:t xml:space="preserve"> пожарный тепловой адресный С2000 ИП – 11 шт.</w:t>
      </w:r>
    </w:p>
    <w:p w14:paraId="13FC397F"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w:t>
      </w:r>
      <w:proofErr w:type="spellStart"/>
      <w:r w:rsidRPr="00952B0F">
        <w:rPr>
          <w:color w:val="000000"/>
          <w:spacing w:val="-6"/>
        </w:rPr>
        <w:t>извещатель</w:t>
      </w:r>
      <w:proofErr w:type="spellEnd"/>
      <w:r w:rsidRPr="00952B0F">
        <w:rPr>
          <w:color w:val="000000"/>
          <w:spacing w:val="-6"/>
        </w:rPr>
        <w:t xml:space="preserve"> оптико-электронный линейный СПЭК 2210 – 4 шт.</w:t>
      </w:r>
    </w:p>
    <w:p w14:paraId="4E368B23"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управления и индикации речевого оповещения ЦДП02-120 – 1 шт.</w:t>
      </w:r>
    </w:p>
    <w:p w14:paraId="1D849AEE"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коммутации и контроля БКК 16-16 – 1 шт.</w:t>
      </w:r>
    </w:p>
    <w:p w14:paraId="03384E71"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усилитель мощности 200ПП 030 М – 1 шт.</w:t>
      </w:r>
    </w:p>
    <w:p w14:paraId="2225FE73"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усилитель мощности 600ПП 030 М – 2 шт.</w:t>
      </w:r>
    </w:p>
    <w:p w14:paraId="269F3A81"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электропитания БРЖ 02-24- 1 шт.</w:t>
      </w:r>
    </w:p>
    <w:p w14:paraId="45941E3C"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электропитания БРЖ 02-24/12- 2 шт.</w:t>
      </w:r>
    </w:p>
    <w:p w14:paraId="5E58C68D"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пульт микрофонный настольный ПМН – 1 шт.</w:t>
      </w:r>
    </w:p>
    <w:p w14:paraId="0EC5F880"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панель ПС-4 – 1шт.</w:t>
      </w:r>
    </w:p>
    <w:p w14:paraId="5BDB01D8"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панель ПР-44 – 1 шт.</w:t>
      </w:r>
    </w:p>
    <w:p w14:paraId="7BE28FE9"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недельный таймер БТ-03-2/512-8  - 1 шт.</w:t>
      </w:r>
    </w:p>
    <w:p w14:paraId="3DB7D2AF"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шкаф коммутационный закрытый Н12(22U) – 10 – 1 шт.</w:t>
      </w:r>
    </w:p>
    <w:p w14:paraId="501A52EC"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блок согласования БТ01-30В – 1 шт.</w:t>
      </w:r>
    </w:p>
    <w:p w14:paraId="1CEC0F4A"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усилитель микшер 80ПП 026М – 1 шт.</w:t>
      </w:r>
    </w:p>
    <w:p w14:paraId="27133E69"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lastRenderedPageBreak/>
        <w:t xml:space="preserve">• блок интерфейса БИ01 – 1шт. </w:t>
      </w:r>
    </w:p>
    <w:p w14:paraId="284E0249"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громкоговоритель – 3/1АС100ПН (3Вт) – 32 шт.</w:t>
      </w:r>
    </w:p>
    <w:p w14:paraId="53BA709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громкоговоритель – 6/3АС100ПН (6Вт) – 82 шт.</w:t>
      </w:r>
    </w:p>
    <w:p w14:paraId="327DB13D"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громкоговоритель – 6/3АС100ПП (6Вт) – 79 шт.</w:t>
      </w:r>
    </w:p>
    <w:p w14:paraId="1B0531FA"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громкоговоритель – 15/10/6АС100ПН (15Вт) – 10 шт.</w:t>
      </w:r>
    </w:p>
    <w:p w14:paraId="315AFBDE"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Объектовая станция "Стрелец-Мониторинг" и антенна выносная СМ 470.    </w:t>
      </w:r>
    </w:p>
    <w:p w14:paraId="0A7D4865" w14:textId="77777777" w:rsidR="00952B0F" w:rsidRPr="00952B0F" w:rsidRDefault="00952B0F" w:rsidP="00952B0F">
      <w:pPr>
        <w:shd w:val="clear" w:color="auto" w:fill="FFFFFF"/>
        <w:tabs>
          <w:tab w:val="left" w:pos="1085"/>
        </w:tabs>
        <w:spacing w:after="200" w:line="240" w:lineRule="exact"/>
        <w:jc w:val="left"/>
        <w:rPr>
          <w:color w:val="000000"/>
          <w:spacing w:val="-6"/>
        </w:rPr>
      </w:pPr>
      <w:r w:rsidRPr="00952B0F">
        <w:rPr>
          <w:color w:val="000000"/>
          <w:spacing w:val="-6"/>
        </w:rPr>
        <w:t>МБОУ «Гимназия» дошкольные группы  ул. Геологов, д 21</w:t>
      </w:r>
    </w:p>
    <w:p w14:paraId="034F0EE1" w14:textId="77777777" w:rsidR="00952B0F" w:rsidRPr="00952B0F" w:rsidRDefault="00952B0F" w:rsidP="00952B0F">
      <w:pPr>
        <w:shd w:val="clear" w:color="auto" w:fill="FFFFFF"/>
        <w:tabs>
          <w:tab w:val="left" w:pos="0"/>
        </w:tabs>
        <w:spacing w:line="240" w:lineRule="exact"/>
        <w:ind w:left="14" w:firstLine="553"/>
        <w:jc w:val="left"/>
        <w:rPr>
          <w:color w:val="000000"/>
          <w:spacing w:val="-6"/>
        </w:rPr>
      </w:pPr>
      <w:r w:rsidRPr="00952B0F">
        <w:rPr>
          <w:color w:val="000000"/>
          <w:spacing w:val="-6"/>
        </w:rPr>
        <w:t>• Система  пожарная С2000.                                                                                                                                                                       Объектовая станция " Стрелец-Мониторинг " и антенна выносная СМ 470.</w:t>
      </w:r>
    </w:p>
    <w:p w14:paraId="0AFA8C75"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14:paraId="48EB1941"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1.1.ТО (техническое обслуживание):</w:t>
      </w:r>
    </w:p>
    <w:p w14:paraId="7E34BEA6"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14:paraId="4882D460"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-проверка работоспособности - определение технического состояния путём контроля техническими средствами.</w:t>
      </w:r>
    </w:p>
    <w:p w14:paraId="5E1A3A45"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1.2. ППР (планово-предупредительный ремонт):</w:t>
      </w:r>
    </w:p>
    <w:p w14:paraId="2F3A4947" w14:textId="65827288"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w:t>
      </w:r>
      <w:r w:rsidR="007C060F" w:rsidRPr="00952B0F">
        <w:rPr>
          <w:color w:val="000000"/>
          <w:spacing w:val="-6"/>
        </w:rPr>
        <w:t>их элементов,</w:t>
      </w:r>
      <w:r w:rsidRPr="00952B0F">
        <w:rPr>
          <w:color w:val="000000"/>
          <w:spacing w:val="-6"/>
        </w:rPr>
        <w:t xml:space="preserve">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14:paraId="6A19E4F5" w14:textId="2AD459EA"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1.3. ТО и ППР должны производиться не реже одного раза в месяц. Измерение сопротивления защитного и рабочего заземления – 1 раз (январь мес</w:t>
      </w:r>
      <w:r w:rsidR="00852AFD">
        <w:rPr>
          <w:color w:val="000000"/>
          <w:spacing w:val="-6"/>
        </w:rPr>
        <w:t>яц) 2019</w:t>
      </w:r>
      <w:r w:rsidRPr="00952B0F">
        <w:rPr>
          <w:color w:val="000000"/>
          <w:spacing w:val="-6"/>
        </w:rPr>
        <w:t xml:space="preserve"> года. Акт ТО предоставляется один раз в квартал (средств пожарной сигнализации, системы речевого оповещения и станции "Стрелец-Мониторинг").</w:t>
      </w:r>
    </w:p>
    <w:p w14:paraId="7E7185BC" w14:textId="22497C88"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w:t>
      </w:r>
      <w:proofErr w:type="spellStart"/>
      <w:r w:rsidRPr="00952B0F">
        <w:rPr>
          <w:color w:val="000000"/>
          <w:spacing w:val="-6"/>
        </w:rPr>
        <w:t>сработак</w:t>
      </w:r>
      <w:proofErr w:type="spellEnd"/>
      <w:r w:rsidRPr="00952B0F">
        <w:rPr>
          <w:color w:val="000000"/>
          <w:spacing w:val="-6"/>
        </w:rPr>
        <w:t xml:space="preserve"> и не исправностей, обновление программного обеспечения и электронных карточек объектов заказчика, доступ </w:t>
      </w:r>
      <w:r w:rsidR="007C060F" w:rsidRPr="00952B0F">
        <w:rPr>
          <w:color w:val="000000"/>
          <w:spacing w:val="-6"/>
        </w:rPr>
        <w:t>к пультовому оборудованию,</w:t>
      </w:r>
      <w:r w:rsidRPr="00952B0F">
        <w:rPr>
          <w:color w:val="000000"/>
          <w:spacing w:val="-6"/>
        </w:rPr>
        <w:t xml:space="preserve"> установленному на пульте к пожарной безопасности. </w:t>
      </w:r>
    </w:p>
    <w:p w14:paraId="64246B5D" w14:textId="2F33A26B"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2. В случае сбоев или отказа в </w:t>
      </w:r>
      <w:r w:rsidR="007C060F" w:rsidRPr="00952B0F">
        <w:rPr>
          <w:color w:val="000000"/>
          <w:spacing w:val="-6"/>
        </w:rPr>
        <w:t>работе систем</w:t>
      </w:r>
      <w:r w:rsidRPr="00952B0F">
        <w:rPr>
          <w:color w:val="000000"/>
          <w:spacing w:val="-6"/>
        </w:rPr>
        <w:t xml:space="preserve"> сигнализации в межрегламентный период, Исполнитель должен прибыть на обслуживаемый объект по вызову Заказчика в срок - не более 3 (трёх) часов. </w:t>
      </w:r>
    </w:p>
    <w:p w14:paraId="6437C88B"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3.Исполнитель, независимо от формы поступившего от Заказчика вызова, должен регистрировать его в «Журнале учёта вызовов».</w:t>
      </w:r>
    </w:p>
    <w:p w14:paraId="4B155CB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14:paraId="0D9247ED" w14:textId="5C0A62F3"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w:t>
      </w:r>
      <w:r w:rsidR="007C060F" w:rsidRPr="00952B0F">
        <w:rPr>
          <w:color w:val="000000"/>
          <w:spacing w:val="-6"/>
        </w:rPr>
        <w:t>в срок,</w:t>
      </w:r>
      <w:r w:rsidRPr="00952B0F">
        <w:rPr>
          <w:color w:val="000000"/>
          <w:spacing w:val="-6"/>
        </w:rPr>
        <w:t xml:space="preserve"> установленный Заказчиком. </w:t>
      </w:r>
    </w:p>
    <w:p w14:paraId="3FDDFD1B"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Порядок сдачи и приёмки работ</w:t>
      </w:r>
    </w:p>
    <w:p w14:paraId="4243BC84"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Работоспособность систем и контроль качества проведения ТО и ППР осуществляется Заказчиком.</w:t>
      </w:r>
    </w:p>
    <w:p w14:paraId="3BA3E746" w14:textId="77777777" w:rsidR="00952B0F" w:rsidRPr="00952B0F" w:rsidRDefault="00952B0F" w:rsidP="00952B0F">
      <w:pPr>
        <w:shd w:val="clear" w:color="auto" w:fill="FFFFFF"/>
        <w:tabs>
          <w:tab w:val="left" w:pos="1085"/>
        </w:tabs>
        <w:spacing w:line="240" w:lineRule="exact"/>
        <w:ind w:left="14" w:firstLine="553"/>
        <w:rPr>
          <w:color w:val="000000"/>
          <w:spacing w:val="-6"/>
        </w:rPr>
      </w:pPr>
      <w:r w:rsidRPr="00952B0F">
        <w:rPr>
          <w:color w:val="000000"/>
          <w:spacing w:val="-6"/>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14:paraId="19EC41AC" w14:textId="77777777" w:rsidR="00952B0F" w:rsidRPr="00952B0F" w:rsidRDefault="00952B0F" w:rsidP="00952B0F">
      <w:pPr>
        <w:tabs>
          <w:tab w:val="left" w:pos="9356"/>
        </w:tabs>
        <w:ind w:firstLine="553"/>
        <w:jc w:val="left"/>
      </w:pPr>
    </w:p>
    <w:p w14:paraId="17A023C7" w14:textId="77777777" w:rsidR="00952B0F" w:rsidRPr="00952B0F" w:rsidRDefault="00952B0F" w:rsidP="00952B0F">
      <w:pPr>
        <w:tabs>
          <w:tab w:val="left" w:pos="9356"/>
        </w:tabs>
        <w:ind w:firstLine="553"/>
        <w:jc w:val="left"/>
      </w:pPr>
      <w:r w:rsidRPr="00952B0F">
        <w:lastRenderedPageBreak/>
        <w:t>.</w:t>
      </w:r>
    </w:p>
    <w:p w14:paraId="758936EC" w14:textId="77777777" w:rsidR="00952B0F" w:rsidRPr="00952B0F" w:rsidRDefault="00952B0F" w:rsidP="00952B0F">
      <w:pPr>
        <w:tabs>
          <w:tab w:val="left" w:pos="9356"/>
        </w:tabs>
        <w:ind w:firstLine="553"/>
        <w:jc w:val="left"/>
      </w:pPr>
    </w:p>
    <w:tbl>
      <w:tblPr>
        <w:tblW w:w="10452" w:type="dxa"/>
        <w:tblInd w:w="146" w:type="dxa"/>
        <w:tblLook w:val="00A0" w:firstRow="1" w:lastRow="0" w:firstColumn="1" w:lastColumn="0" w:noHBand="0" w:noVBand="0"/>
      </w:tblPr>
      <w:tblGrid>
        <w:gridCol w:w="5207"/>
        <w:gridCol w:w="5245"/>
      </w:tblGrid>
      <w:tr w:rsidR="00952B0F" w:rsidRPr="00952B0F" w14:paraId="35A07B70" w14:textId="77777777" w:rsidTr="009D6D12">
        <w:tc>
          <w:tcPr>
            <w:tcW w:w="5207" w:type="dxa"/>
            <w:hideMark/>
          </w:tcPr>
          <w:p w14:paraId="2C0CED54" w14:textId="77777777" w:rsidR="00952B0F" w:rsidRPr="00952B0F" w:rsidRDefault="00952B0F" w:rsidP="00952B0F">
            <w:pPr>
              <w:spacing w:after="0"/>
              <w:ind w:firstLine="553"/>
              <w:jc w:val="left"/>
            </w:pPr>
            <w:r w:rsidRPr="00952B0F">
              <w:t>Заказчик:</w:t>
            </w:r>
          </w:p>
          <w:p w14:paraId="06F97115" w14:textId="77777777" w:rsidR="00952B0F" w:rsidRPr="00952B0F" w:rsidRDefault="00952B0F" w:rsidP="00952B0F">
            <w:pPr>
              <w:spacing w:after="0"/>
              <w:ind w:firstLine="553"/>
              <w:jc w:val="left"/>
            </w:pPr>
            <w:r w:rsidRPr="00952B0F">
              <w:t>МБОУ «Гимназия»</w:t>
            </w:r>
          </w:p>
          <w:p w14:paraId="2A73E3A2" w14:textId="77777777" w:rsidR="00952B0F" w:rsidRPr="00952B0F" w:rsidRDefault="00952B0F" w:rsidP="00952B0F">
            <w:pPr>
              <w:spacing w:after="0"/>
              <w:ind w:firstLine="553"/>
              <w:jc w:val="left"/>
            </w:pPr>
          </w:p>
        </w:tc>
        <w:tc>
          <w:tcPr>
            <w:tcW w:w="5245" w:type="dxa"/>
          </w:tcPr>
          <w:p w14:paraId="3AF08FC0" w14:textId="77777777" w:rsidR="00952B0F" w:rsidRPr="00952B0F" w:rsidRDefault="00952B0F" w:rsidP="00952B0F">
            <w:pPr>
              <w:spacing w:after="0"/>
              <w:ind w:firstLine="553"/>
              <w:jc w:val="left"/>
            </w:pPr>
            <w:r w:rsidRPr="00952B0F">
              <w:t>Исполнитель:</w:t>
            </w:r>
          </w:p>
          <w:p w14:paraId="39C780AF" w14:textId="77777777" w:rsidR="00952B0F" w:rsidRPr="00952B0F" w:rsidRDefault="00952B0F" w:rsidP="00952B0F">
            <w:pPr>
              <w:spacing w:after="0"/>
              <w:ind w:firstLine="553"/>
              <w:jc w:val="left"/>
            </w:pPr>
          </w:p>
        </w:tc>
      </w:tr>
      <w:tr w:rsidR="00952B0F" w:rsidRPr="00952B0F" w14:paraId="4CEF1828" w14:textId="77777777" w:rsidTr="009D6D12">
        <w:tc>
          <w:tcPr>
            <w:tcW w:w="5207" w:type="dxa"/>
          </w:tcPr>
          <w:p w14:paraId="68AC4490" w14:textId="77777777" w:rsidR="00952B0F" w:rsidRPr="00952B0F" w:rsidRDefault="00952B0F" w:rsidP="00952B0F">
            <w:pPr>
              <w:spacing w:after="0"/>
              <w:ind w:firstLine="553"/>
              <w:jc w:val="left"/>
            </w:pPr>
            <w:r w:rsidRPr="00952B0F">
              <w:t xml:space="preserve"> Директор ____________ В.В. Погребняк</w:t>
            </w:r>
          </w:p>
          <w:p w14:paraId="33CF3017" w14:textId="77777777" w:rsidR="00952B0F" w:rsidRPr="00952B0F" w:rsidRDefault="00952B0F" w:rsidP="00952B0F">
            <w:pPr>
              <w:spacing w:after="0"/>
              <w:ind w:firstLine="553"/>
              <w:jc w:val="left"/>
            </w:pPr>
          </w:p>
        </w:tc>
        <w:tc>
          <w:tcPr>
            <w:tcW w:w="5245" w:type="dxa"/>
            <w:hideMark/>
          </w:tcPr>
          <w:p w14:paraId="2E74ABC9" w14:textId="77777777" w:rsidR="00952B0F" w:rsidRPr="00952B0F" w:rsidRDefault="00952B0F" w:rsidP="00952B0F">
            <w:pPr>
              <w:spacing w:after="0"/>
              <w:ind w:firstLine="553"/>
              <w:jc w:val="left"/>
            </w:pPr>
            <w:r w:rsidRPr="00952B0F">
              <w:t xml:space="preserve">Директор_____________ </w:t>
            </w:r>
          </w:p>
        </w:tc>
      </w:tr>
    </w:tbl>
    <w:p w14:paraId="0B7EA414" w14:textId="77777777" w:rsidR="00952B0F" w:rsidRPr="00952B0F" w:rsidRDefault="00952B0F" w:rsidP="00952B0F">
      <w:pPr>
        <w:spacing w:after="0"/>
        <w:ind w:firstLine="553"/>
        <w:jc w:val="center"/>
        <w:rPr>
          <w:b/>
          <w:bCs/>
          <w:color w:val="FF0000"/>
        </w:rPr>
      </w:pPr>
    </w:p>
    <w:p w14:paraId="3CA9FE06" w14:textId="77777777" w:rsidR="0063672C" w:rsidRPr="00952B0F" w:rsidRDefault="0063672C" w:rsidP="00952B0F">
      <w:pPr>
        <w:tabs>
          <w:tab w:val="left" w:pos="360"/>
        </w:tabs>
        <w:autoSpaceDE w:val="0"/>
        <w:autoSpaceDN w:val="0"/>
        <w:adjustRightInd w:val="0"/>
        <w:spacing w:before="120" w:after="120"/>
        <w:ind w:firstLine="553"/>
        <w:jc w:val="center"/>
        <w:rPr>
          <w:b/>
          <w:bCs/>
        </w:rPr>
      </w:pPr>
    </w:p>
    <w:p w14:paraId="6082EE31" w14:textId="77777777" w:rsidR="0063672C" w:rsidRPr="00952B0F" w:rsidRDefault="0063672C" w:rsidP="00952B0F">
      <w:pPr>
        <w:tabs>
          <w:tab w:val="left" w:pos="360"/>
        </w:tabs>
        <w:autoSpaceDE w:val="0"/>
        <w:autoSpaceDN w:val="0"/>
        <w:adjustRightInd w:val="0"/>
        <w:spacing w:before="120" w:after="120"/>
        <w:ind w:firstLine="553"/>
        <w:jc w:val="center"/>
        <w:rPr>
          <w:b/>
          <w:bCs/>
        </w:rPr>
      </w:pPr>
    </w:p>
    <w:p w14:paraId="2FBCB962" w14:textId="77777777" w:rsidR="003D5076" w:rsidRPr="00952B0F" w:rsidRDefault="003D5076" w:rsidP="00952B0F">
      <w:pPr>
        <w:spacing w:after="0"/>
        <w:ind w:firstLine="553"/>
      </w:pPr>
    </w:p>
    <w:sectPr w:rsidR="003D5076" w:rsidRPr="00952B0F"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C3F53" w14:textId="77777777" w:rsidR="00575ABE" w:rsidRDefault="00575ABE" w:rsidP="00A762D8">
      <w:pPr>
        <w:spacing w:after="0"/>
      </w:pPr>
      <w:r>
        <w:separator/>
      </w:r>
    </w:p>
  </w:endnote>
  <w:endnote w:type="continuationSeparator" w:id="0">
    <w:p w14:paraId="13A7E984" w14:textId="77777777" w:rsidR="00575ABE" w:rsidRDefault="00575AB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603E8" w:rsidRDefault="007603E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603E8" w:rsidRDefault="007603E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600EE0E" w:rsidR="007603E8" w:rsidRDefault="007603E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3E21">
      <w:rPr>
        <w:rStyle w:val="a5"/>
        <w:noProof/>
      </w:rPr>
      <w:t>9</w:t>
    </w:r>
    <w:r>
      <w:rPr>
        <w:rStyle w:val="a5"/>
      </w:rPr>
      <w:fldChar w:fldCharType="end"/>
    </w:r>
  </w:p>
  <w:p w14:paraId="3A81B67B" w14:textId="57647A15" w:rsidR="007603E8" w:rsidRDefault="00E430C0" w:rsidP="003D5076">
    <w:pPr>
      <w:pStyle w:val="a3"/>
      <w:ind w:right="360"/>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E9F51" w14:textId="77777777" w:rsidR="00575ABE" w:rsidRDefault="00575ABE" w:rsidP="00A762D8">
      <w:pPr>
        <w:spacing w:after="0"/>
      </w:pPr>
      <w:r>
        <w:separator/>
      </w:r>
    </w:p>
  </w:footnote>
  <w:footnote w:type="continuationSeparator" w:id="0">
    <w:p w14:paraId="4508CEFF" w14:textId="77777777" w:rsidR="00575ABE" w:rsidRDefault="00575ABE" w:rsidP="00A762D8">
      <w:pPr>
        <w:spacing w:after="0"/>
      </w:pPr>
      <w:r>
        <w:continuationSeparator/>
      </w:r>
    </w:p>
  </w:footnote>
  <w:footnote w:id="1">
    <w:p w14:paraId="55E632A3" w14:textId="77777777" w:rsidR="007603E8" w:rsidRDefault="007603E8"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7603E8" w:rsidRPr="007637D6" w:rsidRDefault="007603E8" w:rsidP="007B73A0">
      <w:pPr>
        <w:pStyle w:val="a9"/>
        <w:rPr>
          <w:sz w:val="18"/>
          <w:szCs w:val="18"/>
        </w:rPr>
      </w:pPr>
    </w:p>
  </w:footnote>
  <w:footnote w:id="2">
    <w:p w14:paraId="15950BAC" w14:textId="77777777" w:rsidR="007603E8" w:rsidRDefault="007603E8" w:rsidP="00852AFD">
      <w:pPr>
        <w:autoSpaceDE w:val="0"/>
        <w:autoSpaceDN w:val="0"/>
        <w:adjustRightInd w:val="0"/>
        <w:ind w:firstLine="540"/>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11ED72D2" w14:textId="77777777" w:rsidR="007603E8" w:rsidRDefault="007603E8" w:rsidP="00852AFD">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5D5A91A4" w14:textId="77777777" w:rsidR="007603E8" w:rsidRDefault="007603E8" w:rsidP="00852A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7603E8" w:rsidRPr="002C72FC" w:rsidRDefault="007603E8"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7603E8" w:rsidRPr="002C72FC" w:rsidRDefault="007603E8"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7603E8" w:rsidRPr="002C72FC" w:rsidRDefault="007603E8"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7603E8" w:rsidRPr="002C72FC" w:rsidRDefault="007603E8"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7603E8" w:rsidRPr="002C72FC" w:rsidRDefault="007603E8"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7603E8" w:rsidRPr="002C72FC" w:rsidRDefault="007603E8"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7603E8" w:rsidRPr="002C72FC" w:rsidRDefault="007603E8"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7603E8" w:rsidRPr="002C72FC" w:rsidRDefault="007603E8"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7603E8" w:rsidRPr="002C72FC" w:rsidRDefault="007603E8"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7603E8" w:rsidRPr="002C72FC" w:rsidRDefault="007603E8"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7603E8" w:rsidRPr="002C72FC" w:rsidRDefault="007603E8"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7603E8" w:rsidRPr="002528AF" w:rsidRDefault="007603E8" w:rsidP="009C285F">
      <w:pPr>
        <w:autoSpaceDE w:val="0"/>
        <w:autoSpaceDN w:val="0"/>
        <w:adjustRightInd w:val="0"/>
        <w:spacing w:after="0"/>
        <w:rPr>
          <w:sz w:val="18"/>
          <w:szCs w:val="18"/>
        </w:rPr>
      </w:pPr>
    </w:p>
  </w:footnote>
  <w:footnote w:id="6">
    <w:p w14:paraId="31247EE8" w14:textId="77777777" w:rsidR="007603E8" w:rsidRPr="002D4A0B" w:rsidRDefault="007603E8"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997DCF"/>
    <w:multiLevelType w:val="hybridMultilevel"/>
    <w:tmpl w:val="10C226FE"/>
    <w:lvl w:ilvl="0" w:tplc="6B2021E6">
      <w:start w:val="1"/>
      <w:numFmt w:val="decimal"/>
      <w:lvlText w:val="%1."/>
      <w:lvlJc w:val="left"/>
      <w:pPr>
        <w:tabs>
          <w:tab w:val="num" w:pos="720"/>
        </w:tabs>
        <w:ind w:left="720" w:hanging="360"/>
      </w:pPr>
      <w:rPr>
        <w:rFonts w:hint="default"/>
      </w:rPr>
    </w:lvl>
    <w:lvl w:ilvl="1" w:tplc="E0D49F7C">
      <w:start w:val="1"/>
      <w:numFmt w:val="upperRoman"/>
      <w:lvlText w:val="%2."/>
      <w:lvlJc w:val="left"/>
      <w:pPr>
        <w:tabs>
          <w:tab w:val="num" w:pos="9793"/>
        </w:tabs>
        <w:ind w:left="9793" w:hanging="720"/>
      </w:pPr>
      <w:rPr>
        <w:rFonts w:hint="default"/>
        <w:sz w:val="24"/>
        <w:szCs w:val="24"/>
      </w:rPr>
    </w:lvl>
    <w:lvl w:ilvl="2" w:tplc="F96A01D8" w:tentative="1">
      <w:start w:val="1"/>
      <w:numFmt w:val="lowerRoman"/>
      <w:lvlText w:val="%3."/>
      <w:lvlJc w:val="right"/>
      <w:pPr>
        <w:tabs>
          <w:tab w:val="num" w:pos="2160"/>
        </w:tabs>
        <w:ind w:left="2160" w:hanging="180"/>
      </w:pPr>
    </w:lvl>
    <w:lvl w:ilvl="3" w:tplc="F7E2547E" w:tentative="1">
      <w:start w:val="1"/>
      <w:numFmt w:val="decimal"/>
      <w:lvlText w:val="%4."/>
      <w:lvlJc w:val="left"/>
      <w:pPr>
        <w:tabs>
          <w:tab w:val="num" w:pos="2880"/>
        </w:tabs>
        <w:ind w:left="2880" w:hanging="360"/>
      </w:pPr>
    </w:lvl>
    <w:lvl w:ilvl="4" w:tplc="D63099C2" w:tentative="1">
      <w:start w:val="1"/>
      <w:numFmt w:val="lowerLetter"/>
      <w:lvlText w:val="%5."/>
      <w:lvlJc w:val="left"/>
      <w:pPr>
        <w:tabs>
          <w:tab w:val="num" w:pos="3600"/>
        </w:tabs>
        <w:ind w:left="3600" w:hanging="360"/>
      </w:pPr>
    </w:lvl>
    <w:lvl w:ilvl="5" w:tplc="4A761DD2" w:tentative="1">
      <w:start w:val="1"/>
      <w:numFmt w:val="lowerRoman"/>
      <w:lvlText w:val="%6."/>
      <w:lvlJc w:val="right"/>
      <w:pPr>
        <w:tabs>
          <w:tab w:val="num" w:pos="4320"/>
        </w:tabs>
        <w:ind w:left="4320" w:hanging="180"/>
      </w:pPr>
    </w:lvl>
    <w:lvl w:ilvl="6" w:tplc="5ADC0A38" w:tentative="1">
      <w:start w:val="1"/>
      <w:numFmt w:val="decimal"/>
      <w:lvlText w:val="%7."/>
      <w:lvlJc w:val="left"/>
      <w:pPr>
        <w:tabs>
          <w:tab w:val="num" w:pos="5040"/>
        </w:tabs>
        <w:ind w:left="5040" w:hanging="360"/>
      </w:pPr>
    </w:lvl>
    <w:lvl w:ilvl="7" w:tplc="5ABC70E4" w:tentative="1">
      <w:start w:val="1"/>
      <w:numFmt w:val="lowerLetter"/>
      <w:lvlText w:val="%8."/>
      <w:lvlJc w:val="left"/>
      <w:pPr>
        <w:tabs>
          <w:tab w:val="num" w:pos="5760"/>
        </w:tabs>
        <w:ind w:left="5760" w:hanging="360"/>
      </w:pPr>
    </w:lvl>
    <w:lvl w:ilvl="8" w:tplc="785CFF48" w:tentative="1">
      <w:start w:val="1"/>
      <w:numFmt w:val="lowerRoman"/>
      <w:lvlText w:val="%9."/>
      <w:lvlJc w:val="right"/>
      <w:pPr>
        <w:tabs>
          <w:tab w:val="num" w:pos="6480"/>
        </w:tabs>
        <w:ind w:left="6480" w:hanging="18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94E65"/>
    <w:rsid w:val="000B5133"/>
    <w:rsid w:val="000B7A6A"/>
    <w:rsid w:val="000B7C90"/>
    <w:rsid w:val="000E238D"/>
    <w:rsid w:val="000E5CB9"/>
    <w:rsid w:val="001115B3"/>
    <w:rsid w:val="00136171"/>
    <w:rsid w:val="00162260"/>
    <w:rsid w:val="001654EE"/>
    <w:rsid w:val="00172BE8"/>
    <w:rsid w:val="001750F2"/>
    <w:rsid w:val="001D5AA7"/>
    <w:rsid w:val="001E5896"/>
    <w:rsid w:val="001F3C7B"/>
    <w:rsid w:val="002303BA"/>
    <w:rsid w:val="00281449"/>
    <w:rsid w:val="00294A50"/>
    <w:rsid w:val="002A7790"/>
    <w:rsid w:val="002E2F0D"/>
    <w:rsid w:val="002F0321"/>
    <w:rsid w:val="002F246D"/>
    <w:rsid w:val="002F72DD"/>
    <w:rsid w:val="003020AF"/>
    <w:rsid w:val="00307F83"/>
    <w:rsid w:val="003135E0"/>
    <w:rsid w:val="003200A8"/>
    <w:rsid w:val="0032217B"/>
    <w:rsid w:val="00325BAD"/>
    <w:rsid w:val="00340087"/>
    <w:rsid w:val="00340FFC"/>
    <w:rsid w:val="00344F2A"/>
    <w:rsid w:val="00355DA6"/>
    <w:rsid w:val="003679CC"/>
    <w:rsid w:val="003A71FB"/>
    <w:rsid w:val="003D5076"/>
    <w:rsid w:val="003D7DB7"/>
    <w:rsid w:val="00410FA8"/>
    <w:rsid w:val="00413110"/>
    <w:rsid w:val="00442E70"/>
    <w:rsid w:val="0044711B"/>
    <w:rsid w:val="00453A62"/>
    <w:rsid w:val="00462481"/>
    <w:rsid w:val="004643D6"/>
    <w:rsid w:val="00471C88"/>
    <w:rsid w:val="004730E9"/>
    <w:rsid w:val="00477D82"/>
    <w:rsid w:val="00491E48"/>
    <w:rsid w:val="00493602"/>
    <w:rsid w:val="00497EB8"/>
    <w:rsid w:val="004A0525"/>
    <w:rsid w:val="004A6C56"/>
    <w:rsid w:val="004E27C9"/>
    <w:rsid w:val="004E62ED"/>
    <w:rsid w:val="004E7774"/>
    <w:rsid w:val="004F33AD"/>
    <w:rsid w:val="0052698A"/>
    <w:rsid w:val="00531602"/>
    <w:rsid w:val="0054619C"/>
    <w:rsid w:val="00552C70"/>
    <w:rsid w:val="00553D5F"/>
    <w:rsid w:val="005651E8"/>
    <w:rsid w:val="005656C0"/>
    <w:rsid w:val="005725CC"/>
    <w:rsid w:val="00573FB5"/>
    <w:rsid w:val="00575ABE"/>
    <w:rsid w:val="005813C1"/>
    <w:rsid w:val="00582E3B"/>
    <w:rsid w:val="005922BE"/>
    <w:rsid w:val="00592497"/>
    <w:rsid w:val="005A0FBF"/>
    <w:rsid w:val="005A2B4C"/>
    <w:rsid w:val="005A3C81"/>
    <w:rsid w:val="005A45D7"/>
    <w:rsid w:val="005C4595"/>
    <w:rsid w:val="00606E7E"/>
    <w:rsid w:val="00616B22"/>
    <w:rsid w:val="0062079D"/>
    <w:rsid w:val="00625426"/>
    <w:rsid w:val="00633D9D"/>
    <w:rsid w:val="006364E6"/>
    <w:rsid w:val="0063672C"/>
    <w:rsid w:val="00641C1E"/>
    <w:rsid w:val="006449E3"/>
    <w:rsid w:val="00654EAF"/>
    <w:rsid w:val="006A1623"/>
    <w:rsid w:val="006A2FEE"/>
    <w:rsid w:val="006B0322"/>
    <w:rsid w:val="006B3E00"/>
    <w:rsid w:val="006B5705"/>
    <w:rsid w:val="006B76CA"/>
    <w:rsid w:val="006C33FB"/>
    <w:rsid w:val="006D109D"/>
    <w:rsid w:val="006D634A"/>
    <w:rsid w:val="006E0DAC"/>
    <w:rsid w:val="006E35AD"/>
    <w:rsid w:val="006F5734"/>
    <w:rsid w:val="00710C2D"/>
    <w:rsid w:val="00710DD9"/>
    <w:rsid w:val="00711B6C"/>
    <w:rsid w:val="00735C31"/>
    <w:rsid w:val="00740EB8"/>
    <w:rsid w:val="00742113"/>
    <w:rsid w:val="00742593"/>
    <w:rsid w:val="007603E8"/>
    <w:rsid w:val="007618D8"/>
    <w:rsid w:val="007825C4"/>
    <w:rsid w:val="007A1009"/>
    <w:rsid w:val="007B2185"/>
    <w:rsid w:val="007B73A0"/>
    <w:rsid w:val="007C060F"/>
    <w:rsid w:val="007E1810"/>
    <w:rsid w:val="007E38C0"/>
    <w:rsid w:val="007F1929"/>
    <w:rsid w:val="00800984"/>
    <w:rsid w:val="00815F90"/>
    <w:rsid w:val="008369A9"/>
    <w:rsid w:val="00852AFD"/>
    <w:rsid w:val="00872F65"/>
    <w:rsid w:val="00890B3B"/>
    <w:rsid w:val="008C078B"/>
    <w:rsid w:val="008D6416"/>
    <w:rsid w:val="008E102C"/>
    <w:rsid w:val="008E7CA1"/>
    <w:rsid w:val="00921E6B"/>
    <w:rsid w:val="00926806"/>
    <w:rsid w:val="0093755D"/>
    <w:rsid w:val="0094715A"/>
    <w:rsid w:val="00950E38"/>
    <w:rsid w:val="00952B0F"/>
    <w:rsid w:val="00954B5C"/>
    <w:rsid w:val="009911E6"/>
    <w:rsid w:val="0099786E"/>
    <w:rsid w:val="009A178B"/>
    <w:rsid w:val="009A7DEB"/>
    <w:rsid w:val="009B6ED0"/>
    <w:rsid w:val="009C285F"/>
    <w:rsid w:val="009D6B1A"/>
    <w:rsid w:val="009D6D12"/>
    <w:rsid w:val="009F2C61"/>
    <w:rsid w:val="00A01B4D"/>
    <w:rsid w:val="00A2625A"/>
    <w:rsid w:val="00A310EC"/>
    <w:rsid w:val="00A53F2B"/>
    <w:rsid w:val="00A54917"/>
    <w:rsid w:val="00A62065"/>
    <w:rsid w:val="00A67E21"/>
    <w:rsid w:val="00A7074C"/>
    <w:rsid w:val="00A762D8"/>
    <w:rsid w:val="00A76EF8"/>
    <w:rsid w:val="00A8770B"/>
    <w:rsid w:val="00A909E2"/>
    <w:rsid w:val="00AA369A"/>
    <w:rsid w:val="00AA647D"/>
    <w:rsid w:val="00AC1F5F"/>
    <w:rsid w:val="00AC3BFF"/>
    <w:rsid w:val="00AC4B1B"/>
    <w:rsid w:val="00AD3025"/>
    <w:rsid w:val="00AD5FC9"/>
    <w:rsid w:val="00AE633C"/>
    <w:rsid w:val="00AF6FF9"/>
    <w:rsid w:val="00B325F6"/>
    <w:rsid w:val="00B3303A"/>
    <w:rsid w:val="00B34D50"/>
    <w:rsid w:val="00B3542A"/>
    <w:rsid w:val="00B817AF"/>
    <w:rsid w:val="00B82650"/>
    <w:rsid w:val="00B85153"/>
    <w:rsid w:val="00BB3C69"/>
    <w:rsid w:val="00BC1339"/>
    <w:rsid w:val="00BD2321"/>
    <w:rsid w:val="00C109D2"/>
    <w:rsid w:val="00C125A4"/>
    <w:rsid w:val="00C33F34"/>
    <w:rsid w:val="00C454D0"/>
    <w:rsid w:val="00C46D9F"/>
    <w:rsid w:val="00C50FAE"/>
    <w:rsid w:val="00C6092B"/>
    <w:rsid w:val="00C628B5"/>
    <w:rsid w:val="00C67157"/>
    <w:rsid w:val="00C75DE4"/>
    <w:rsid w:val="00C77A46"/>
    <w:rsid w:val="00C82AB4"/>
    <w:rsid w:val="00C87474"/>
    <w:rsid w:val="00CB0513"/>
    <w:rsid w:val="00CB1534"/>
    <w:rsid w:val="00CB2E1E"/>
    <w:rsid w:val="00CC2569"/>
    <w:rsid w:val="00CD3549"/>
    <w:rsid w:val="00CE5809"/>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FE2"/>
    <w:rsid w:val="00E13EFA"/>
    <w:rsid w:val="00E277F7"/>
    <w:rsid w:val="00E430C0"/>
    <w:rsid w:val="00E83C05"/>
    <w:rsid w:val="00E84730"/>
    <w:rsid w:val="00EB43BE"/>
    <w:rsid w:val="00EE139F"/>
    <w:rsid w:val="00EF79B3"/>
    <w:rsid w:val="00F03247"/>
    <w:rsid w:val="00F13E21"/>
    <w:rsid w:val="00F3656E"/>
    <w:rsid w:val="00F44FAC"/>
    <w:rsid w:val="00F648A9"/>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99"/>
    <w:qFormat/>
    <w:rsid w:val="008369A9"/>
    <w:pPr>
      <w:spacing w:after="0"/>
      <w:ind w:left="720"/>
      <w:jc w:val="left"/>
    </w:pPr>
  </w:style>
  <w:style w:type="paragraph" w:styleId="af6">
    <w:name w:val="header"/>
    <w:basedOn w:val="a"/>
    <w:link w:val="af7"/>
    <w:uiPriority w:val="99"/>
    <w:unhideWhenUsed/>
    <w:rsid w:val="00E430C0"/>
    <w:pPr>
      <w:tabs>
        <w:tab w:val="center" w:pos="4677"/>
        <w:tab w:val="right" w:pos="9355"/>
      </w:tabs>
      <w:spacing w:after="0"/>
    </w:pPr>
  </w:style>
  <w:style w:type="character" w:customStyle="1" w:styleId="af7">
    <w:name w:val="Верхний колонтитул Знак"/>
    <w:basedOn w:val="a0"/>
    <w:link w:val="af6"/>
    <w:uiPriority w:val="99"/>
    <w:rsid w:val="00E430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99"/>
    <w:qFormat/>
    <w:rsid w:val="008369A9"/>
    <w:pPr>
      <w:spacing w:after="0"/>
      <w:ind w:left="720"/>
      <w:jc w:val="left"/>
    </w:pPr>
  </w:style>
  <w:style w:type="paragraph" w:styleId="af6">
    <w:name w:val="header"/>
    <w:basedOn w:val="a"/>
    <w:link w:val="af7"/>
    <w:uiPriority w:val="99"/>
    <w:unhideWhenUsed/>
    <w:rsid w:val="00E430C0"/>
    <w:pPr>
      <w:tabs>
        <w:tab w:val="center" w:pos="4677"/>
        <w:tab w:val="right" w:pos="9355"/>
      </w:tabs>
      <w:spacing w:after="0"/>
    </w:pPr>
  </w:style>
  <w:style w:type="character" w:customStyle="1" w:styleId="af7">
    <w:name w:val="Верхний колонтитул Знак"/>
    <w:basedOn w:val="a0"/>
    <w:link w:val="af6"/>
    <w:uiPriority w:val="99"/>
    <w:rsid w:val="00E430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B162-696B-454A-A961-085BE777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38</Pages>
  <Words>14312</Words>
  <Characters>81584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125</cp:revision>
  <cp:lastPrinted>2018-11-15T11:49:00Z</cp:lastPrinted>
  <dcterms:created xsi:type="dcterms:W3CDTF">2016-01-21T05:17:00Z</dcterms:created>
  <dcterms:modified xsi:type="dcterms:W3CDTF">2018-11-22T10:06:00Z</dcterms:modified>
</cp:coreProperties>
</file>