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9"/>
        <w:jc w:val="both"/>
        <w:ind w:hanging="0" w:left="360" w:right="0"/>
      </w:pPr>
      <w:r>
        <w:rPr>
          <w:sz w:val="24"/>
          <w:b/>
          <w:szCs w:val="24"/>
          <w:bCs/>
        </w:rPr>
        <w:t>1. Общая часть</w:t>
      </w:r>
    </w:p>
    <w:p>
      <w:pPr>
        <w:pStyle w:val="style0"/>
        <w:jc w:val="center"/>
      </w:pPr>
      <w:r>
        <w:rPr>
          <w:sz w:val="18"/>
          <w:szCs w:val="18"/>
          <w:rFonts w:ascii="Journal" w:cs="Journal" w:hAnsi="Journal"/>
        </w:rPr>
        <w:t>Изм.</w:t>
      </w:r>
    </w:p>
    <w:p>
      <w:pPr>
        <w:pStyle w:val="style0"/>
        <w:jc w:val="center"/>
      </w:pPr>
      <w:r>
        <w:rPr>
          <w:sz w:val="18"/>
          <w:szCs w:val="18"/>
          <w:rFonts w:ascii="Journal" w:cs="Journal" w:hAnsi="Journal"/>
        </w:rPr>
        <w:t>Лист</w:t>
      </w:r>
    </w:p>
    <w:p>
      <w:pPr>
        <w:pStyle w:val="style0"/>
        <w:jc w:val="center"/>
      </w:pPr>
      <w:r>
        <w:rPr>
          <w:sz w:val="18"/>
          <w:szCs w:val="18"/>
          <w:rFonts w:ascii="Journal" w:cs="Journal" w:hAnsi="Journal"/>
        </w:rPr>
        <w:t xml:space="preserve">№ </w:t>
      </w:r>
      <w:r>
        <w:rPr>
          <w:sz w:val="18"/>
          <w:szCs w:val="18"/>
          <w:rFonts w:ascii="Journal" w:cs="Journal" w:hAnsi="Journal"/>
        </w:rPr>
        <w:t>докум.</w:t>
      </w:r>
    </w:p>
    <w:p>
      <w:pPr>
        <w:pStyle w:val="style0"/>
        <w:jc w:val="center"/>
      </w:pPr>
      <w:r>
        <w:rPr>
          <w:sz w:val="18"/>
          <w:szCs w:val="18"/>
          <w:rFonts w:ascii="Journal" w:cs="Journal" w:hAnsi="Journal"/>
        </w:rPr>
        <w:t>Подпись</w:t>
      </w:r>
    </w:p>
    <w:p>
      <w:pPr>
        <w:pStyle w:val="style0"/>
        <w:jc w:val="center"/>
      </w:pPr>
      <w:r>
        <w:rPr>
          <w:sz w:val="18"/>
          <w:szCs w:val="18"/>
          <w:rFonts w:ascii="Journal" w:cs="Journal" w:hAnsi="Journal"/>
        </w:rPr>
        <w:t>Дата</w:t>
      </w:r>
    </w:p>
    <w:p>
      <w:pPr>
        <w:pStyle w:val="style0"/>
        <w:jc w:val="center"/>
      </w:pPr>
      <w:r>
        <w:rPr>
          <w:sz w:val="18"/>
          <w:szCs w:val="18"/>
          <w:rFonts w:ascii="Journal" w:cs="Journal" w:hAnsi="Journal"/>
        </w:rPr>
        <w:t>Лист</w:t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>
          <w:sz w:val="28"/>
          <w:i/>
          <w:szCs w:val="28"/>
          <w:rFonts w:ascii="ISOCPEUR" w:hAnsi="ISOCPEUR"/>
        </w:rPr>
        <w:t>А-008.6-11-АС</w:t>
      </w:r>
    </w:p>
    <w:p>
      <w:pPr>
        <w:pStyle w:val="style0"/>
      </w:pPr>
      <w:r>
        <w:rPr/>
      </w:r>
    </w:p>
    <w:p>
      <w:pPr>
        <w:pStyle w:val="style0"/>
        <w:jc w:val="both"/>
      </w:pPr>
      <w:r>
        <w:rPr>
          <w:color w:val="000000"/>
          <w:sz w:val="24"/>
          <w:szCs w:val="24"/>
        </w:rPr>
        <w:t>Основанием для разработки по объекту «</w:t>
      </w:r>
      <w:r>
        <w:rPr>
          <w:sz w:val="24"/>
          <w:szCs w:val="24"/>
        </w:rPr>
        <w:t>Строительство  входного  пандуса  и  установка   поручня для  нежилого здания для  размещения административных служб  по  адресу  г. Югорск, ул. Ленина №29 (ПОЧТАМП)</w:t>
      </w:r>
      <w:r>
        <w:rPr>
          <w:sz w:val="24"/>
          <w:szCs w:val="24"/>
          <w:rFonts w:eastAsia="Calibri"/>
        </w:rPr>
        <w:t xml:space="preserve">» </w:t>
      </w:r>
      <w:r>
        <w:rPr>
          <w:color w:val="000000"/>
          <w:sz w:val="24"/>
          <w:szCs w:val="24"/>
        </w:rPr>
        <w:t>является задание на проектирование.</w:t>
      </w:r>
    </w:p>
    <w:p>
      <w:pPr>
        <w:pStyle w:val="style0"/>
        <w:ind w:firstLine="360" w:left="0" w:right="0"/>
      </w:pPr>
      <w:r>
        <w:rPr>
          <w:color w:val="000000"/>
          <w:sz w:val="24"/>
          <w:szCs w:val="24"/>
        </w:rPr>
        <w:t>Основными нормативными правовыми документами, регулирующими проведение указанных работ, являются:</w:t>
      </w:r>
    </w:p>
    <w:p>
      <w:pPr>
        <w:pStyle w:val="style0"/>
        <w:jc w:val="both"/>
      </w:pPr>
      <w:r>
        <w:rPr>
          <w:color w:val="000000"/>
          <w:sz w:val="24"/>
          <w:szCs w:val="24"/>
        </w:rPr>
        <w:t xml:space="preserve">● </w:t>
      </w:r>
      <w:r>
        <w:rPr>
          <w:color w:val="000000"/>
          <w:sz w:val="24"/>
          <w:szCs w:val="24"/>
        </w:rPr>
        <w:t>Градостроительный кодекс Российской Федерации (в ред. Федеральных законов от 22.07.2005г №117-ФЗ, от 31.12.2005г №199-ФЗ, от 31.12.2005 г. №210-ФЗ, от  27.07.2006г №143-ФЗ);</w:t>
      </w:r>
    </w:p>
    <w:p>
      <w:pPr>
        <w:pStyle w:val="style0"/>
      </w:pPr>
      <w:r>
        <w:rPr>
          <w:color w:val="000000"/>
          <w:sz w:val="24"/>
          <w:szCs w:val="24"/>
        </w:rPr>
        <w:t>●</w:t>
      </w:r>
      <w:r>
        <w:rPr>
          <w:sz w:val="24"/>
          <w:szCs w:val="24"/>
        </w:rPr>
        <w:t xml:space="preserve">СНиП 35-01-2001 «Доступность зданий и сооружений для маломобильных групп населения». </w:t>
      </w:r>
    </w:p>
    <w:p>
      <w:pPr>
        <w:pStyle w:val="style0"/>
      </w:pPr>
      <w:r>
        <w:rPr>
          <w:color w:val="000000"/>
          <w:sz w:val="24"/>
          <w:szCs w:val="24"/>
        </w:rPr>
        <w:t xml:space="preserve">● </w:t>
      </w:r>
      <w:r>
        <w:rPr>
          <w:color w:val="000000"/>
          <w:sz w:val="24"/>
          <w:szCs w:val="24"/>
        </w:rPr>
        <w:t xml:space="preserve">СНиП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 xml:space="preserve"> -23-81*. Стальные конструкции</w:t>
      </w:r>
    </w:p>
    <w:p>
      <w:pPr>
        <w:pStyle w:val="style0"/>
      </w:pPr>
      <w:r>
        <w:rPr>
          <w:color w:val="000000"/>
          <w:sz w:val="24"/>
          <w:szCs w:val="24"/>
        </w:rPr>
        <w:t xml:space="preserve">● </w:t>
      </w:r>
      <w:r>
        <w:rPr>
          <w:color w:val="000000"/>
          <w:sz w:val="24"/>
          <w:szCs w:val="24"/>
        </w:rPr>
        <w:t xml:space="preserve">СНиП 52-01-2003. Бетонные и железобетонные конструкции. Основные положения. </w:t>
      </w:r>
    </w:p>
    <w:p>
      <w:pPr>
        <w:pStyle w:val="style0"/>
        <w:jc w:val="both"/>
      </w:pPr>
      <w:r>
        <w:rPr>
          <w:color w:val="000000"/>
          <w:sz w:val="24"/>
          <w:szCs w:val="24"/>
        </w:rPr>
        <w:t xml:space="preserve">● </w:t>
      </w:r>
      <w:r>
        <w:rPr>
          <w:color w:val="000000"/>
          <w:sz w:val="24"/>
          <w:szCs w:val="24"/>
        </w:rPr>
        <w:t>ГОСТ 23279-85. Сетки арматурные сварные для железобетонных конструкций и изделий.</w:t>
      </w:r>
    </w:p>
    <w:p>
      <w:pPr>
        <w:pStyle w:val="style0"/>
        <w:jc w:val="both"/>
      </w:pPr>
      <w:r>
        <w:rPr>
          <w:color w:val="000000"/>
          <w:sz w:val="24"/>
          <w:szCs w:val="24"/>
        </w:rPr>
        <w:t xml:space="preserve">● </w:t>
      </w:r>
      <w:r>
        <w:rPr>
          <w:color w:val="000000"/>
          <w:sz w:val="24"/>
          <w:szCs w:val="24"/>
        </w:rPr>
        <w:t>ГОСТ 6465-79*. Эмаль ПФ-115. Технические условия.</w:t>
      </w:r>
    </w:p>
    <w:p>
      <w:pPr>
        <w:pStyle w:val="style0"/>
        <w:jc w:val="both"/>
      </w:pPr>
      <w:r>
        <w:rPr>
          <w:color w:val="000000"/>
          <w:sz w:val="24"/>
          <w:szCs w:val="24"/>
        </w:rPr>
        <w:t xml:space="preserve">● </w:t>
      </w:r>
      <w:r>
        <w:rPr>
          <w:color w:val="000000"/>
          <w:sz w:val="24"/>
          <w:szCs w:val="24"/>
        </w:rPr>
        <w:t>ГОСТ 25129-83. Грунтовка ГФ-021. Технические условия.</w:t>
      </w:r>
    </w:p>
    <w:p>
      <w:pPr>
        <w:pStyle w:val="style0"/>
        <w:jc w:val="both"/>
      </w:pPr>
      <w:r>
        <w:rPr>
          <w:color w:val="000000"/>
          <w:sz w:val="24"/>
          <w:szCs w:val="24"/>
        </w:rPr>
      </w:r>
    </w:p>
    <w:p>
      <w:pPr>
        <w:pStyle w:val="style0"/>
      </w:pPr>
      <w:r>
        <w:rPr>
          <w:sz w:val="24"/>
          <w:b/>
          <w:szCs w:val="24"/>
          <w:bCs/>
        </w:rPr>
        <w:t xml:space="preserve">2. Сведения о топографических, инженерно-геологических, гидрогеологических, метеорологических и климатических условиях земельного участка, предоставленного для размещения объекта капитального строительства. </w:t>
      </w:r>
    </w:p>
    <w:p>
      <w:pPr>
        <w:pStyle w:val="style0"/>
        <w:ind w:hanging="0" w:left="0" w:right="140"/>
      </w:pPr>
      <w:r>
        <w:rPr>
          <w:sz w:val="24"/>
          <w:b/>
          <w:szCs w:val="24"/>
        </w:rPr>
      </w:r>
    </w:p>
    <w:p>
      <w:pPr>
        <w:pStyle w:val="style22"/>
        <w:jc w:val="both"/>
        <w:ind w:firstLine="708" w:left="0" w:right="0"/>
        <w:spacing w:after="0" w:before="0"/>
      </w:pPr>
      <w:r>
        <w:rPr>
          <w:sz w:val="24"/>
          <w:szCs w:val="24"/>
        </w:rPr>
        <w:t>Район строительства рас</w:t>
        <w:t>положен в западной час</w:t>
        <w:t>ти Ханты-Мансийско</w:t>
        <w:t>го автономного окру</w:t>
        <w:t>га — Югры. Его тер</w:t>
        <w:t>ритория находится в пределах средней тайги и входит в состав Кондо-Сосьвинской средне-таёжной провинции Обь-Иртышской физико-гео</w:t>
        <w:t>графической области. Согласно лесораститель-ного районирования За</w:t>
        <w:t>падной Сибири район расположен в подзоне среднетаёжных кедровососновых</w:t>
      </w:r>
      <w:r>
        <w:rPr>
          <w:sz w:val="24"/>
          <w:szCs w:val="24"/>
          <w:w w:val="66"/>
        </w:rPr>
        <w:t xml:space="preserve"> </w:t>
      </w:r>
      <w:r>
        <w:rPr>
          <w:sz w:val="24"/>
          <w:szCs w:val="24"/>
        </w:rPr>
        <w:t>заболочен</w:t>
        <w:t>ных лесов. Температурный режим. Средняя годовая амплитуда температуры воздуха составляет  39.30 С.</w:t>
      </w:r>
    </w:p>
    <w:p>
      <w:pPr>
        <w:pStyle w:val="style22"/>
        <w:jc w:val="both"/>
        <w:ind w:firstLine="708" w:left="0" w:right="0"/>
        <w:spacing w:after="0" w:before="0"/>
      </w:pPr>
      <w:r>
        <w:rPr>
          <w:sz w:val="24"/>
          <w:szCs w:val="24"/>
        </w:rPr>
        <w:t>Зима холодная, продолжительная, многоснежная, с устойчивым снежным покровом, почти без оттепелей. Средняя температура января, самого холодного месяца   -22.40 С. с возможным понижением до  -570 С.  В отдельные теплые дни теплых зим возможно повышение температуры воздуха до положительных значений.</w:t>
      </w:r>
    </w:p>
    <w:p>
      <w:pPr>
        <w:pStyle w:val="style22"/>
        <w:jc w:val="both"/>
        <w:ind w:firstLine="708" w:left="0" w:right="0"/>
        <w:spacing w:after="0" w:before="0"/>
      </w:pPr>
      <w:r>
        <w:rPr>
          <w:sz w:val="24"/>
          <w:szCs w:val="24"/>
        </w:rPr>
        <w:t>Весна поздняя, короткая, прохладная. Медленное оттаивание торфяных болот задерживает повышение температуры. Но ясная ветреная погода и увеличение продолжительности солнечного сияния способствует быстрому прогреванию и просыханию почвы.</w:t>
      </w:r>
    </w:p>
    <w:p>
      <w:pPr>
        <w:pStyle w:val="style22"/>
        <w:jc w:val="both"/>
        <w:ind w:firstLine="708" w:left="0" w:right="0"/>
        <w:spacing w:after="0" w:before="0"/>
      </w:pPr>
      <w:r>
        <w:rPr>
          <w:sz w:val="24"/>
          <w:szCs w:val="24"/>
        </w:rPr>
        <w:t xml:space="preserve">Лето наступает в конце мая и  продолжается 2.5 месяца. Средняя температура самого теплого месяца июля 16.90 С. </w:t>
      </w:r>
    </w:p>
    <w:p>
      <w:pPr>
        <w:pStyle w:val="style22"/>
        <w:jc w:val="both"/>
        <w:ind w:firstLine="708" w:left="0" w:right="0"/>
        <w:spacing w:after="0" w:before="0"/>
      </w:pPr>
      <w:r>
        <w:rPr>
          <w:sz w:val="24"/>
          <w:szCs w:val="24"/>
        </w:rPr>
        <w:t>Осенний период вдвое больше весны и холоднее, с ранними заморозками.</w:t>
      </w:r>
    </w:p>
    <w:p>
      <w:pPr>
        <w:pStyle w:val="style22"/>
        <w:jc w:val="both"/>
        <w:ind w:firstLine="708" w:left="0" w:right="0"/>
        <w:spacing w:after="0" w:before="0"/>
      </w:pPr>
      <w:r>
        <w:rPr>
          <w:sz w:val="24"/>
          <w:szCs w:val="24"/>
        </w:rPr>
        <w:t>Продолжительность безморозного периода в среднем по м/ст  Нижневартовск составляет 98 дней.  Сумма температур периода вегетации растений не превышает 14000 С.</w:t>
      </w:r>
    </w:p>
    <w:p>
      <w:pPr>
        <w:pStyle w:val="style22"/>
        <w:jc w:val="both"/>
        <w:ind w:firstLine="708" w:left="0" w:right="0"/>
        <w:spacing w:after="0" w:before="0"/>
      </w:pPr>
      <w:r>
        <w:rPr>
          <w:sz w:val="24"/>
          <w:szCs w:val="24"/>
        </w:rPr>
        <w:t>Средняя годовая температура поверхности почвы отрицательная (-30 С). Средние месячные температуры поверхности почвы отличаются от температуры воздуха очень незначительно.</w:t>
      </w:r>
    </w:p>
    <w:p>
      <w:pPr>
        <w:pStyle w:val="style0"/>
        <w:jc w:val="both"/>
        <w:ind w:hanging="0" w:left="0" w:right="282"/>
      </w:pPr>
      <w:r>
        <w:rPr>
          <w:sz w:val="24"/>
          <w:szCs w:val="24"/>
        </w:rPr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  <w:pageBreakBefore/>
      </w:pPr>
      <w:r>
        <w:rPr>
          <w:sz w:val="24"/>
          <w:b/>
          <w:szCs w:val="24"/>
          <w:bCs/>
        </w:rPr>
        <w:t>3. Описание и обоснование конструктивных решений зданий и сооружений, включая их пространственные схемы, принятые при выполнении расчетов строительных конструкций</w:t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  <w:jc w:val="center"/>
      </w:pPr>
      <w:r>
        <w:rPr>
          <w:sz w:val="18"/>
          <w:szCs w:val="18"/>
          <w:rFonts w:ascii="Journal" w:cs="Journal" w:hAnsi="Journal"/>
        </w:rPr>
        <w:t>Изм.</w:t>
      </w:r>
    </w:p>
    <w:p>
      <w:pPr>
        <w:pStyle w:val="style0"/>
        <w:jc w:val="center"/>
      </w:pPr>
      <w:r>
        <w:rPr>
          <w:sz w:val="18"/>
          <w:szCs w:val="18"/>
          <w:rFonts w:ascii="Journal" w:cs="Journal" w:hAnsi="Journal"/>
        </w:rPr>
        <w:t>Лист</w:t>
      </w:r>
    </w:p>
    <w:p>
      <w:pPr>
        <w:pStyle w:val="style0"/>
        <w:jc w:val="center"/>
      </w:pPr>
      <w:r>
        <w:rPr>
          <w:sz w:val="18"/>
          <w:szCs w:val="18"/>
          <w:rFonts w:ascii="Journal" w:cs="Journal" w:hAnsi="Journal"/>
        </w:rPr>
        <w:t xml:space="preserve">№ </w:t>
      </w:r>
      <w:r>
        <w:rPr>
          <w:sz w:val="18"/>
          <w:szCs w:val="18"/>
          <w:rFonts w:ascii="Journal" w:cs="Journal" w:hAnsi="Journal"/>
        </w:rPr>
        <w:t>докум.</w:t>
      </w:r>
    </w:p>
    <w:p>
      <w:pPr>
        <w:pStyle w:val="style0"/>
        <w:jc w:val="center"/>
      </w:pPr>
      <w:r>
        <w:rPr>
          <w:sz w:val="18"/>
          <w:szCs w:val="18"/>
          <w:rFonts w:ascii="Journal" w:cs="Journal" w:hAnsi="Journal"/>
        </w:rPr>
        <w:t>Подпись</w:t>
      </w:r>
    </w:p>
    <w:p>
      <w:pPr>
        <w:pStyle w:val="style0"/>
        <w:jc w:val="center"/>
      </w:pPr>
      <w:r>
        <w:rPr>
          <w:sz w:val="18"/>
          <w:szCs w:val="18"/>
          <w:rFonts w:ascii="Journal" w:cs="Journal" w:hAnsi="Journal"/>
        </w:rPr>
        <w:t>Дата</w:t>
      </w:r>
    </w:p>
    <w:p>
      <w:pPr>
        <w:pStyle w:val="style0"/>
        <w:jc w:val="center"/>
      </w:pPr>
      <w:r>
        <w:rPr>
          <w:sz w:val="18"/>
          <w:szCs w:val="18"/>
          <w:rFonts w:ascii="Journal" w:cs="Journal" w:hAnsi="Journal"/>
        </w:rPr>
        <w:t>Лист</w:t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>
          <w:sz w:val="28"/>
          <w:i/>
          <w:szCs w:val="28"/>
          <w:rFonts w:ascii="ISOCPEUR" w:hAnsi="ISOCPEUR"/>
        </w:rPr>
        <w:t>А-008.6-11-АС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4"/>
          <w:szCs w:val="24"/>
        </w:rPr>
        <w:t xml:space="preserve">Стенки пандусов выполнены из монолитного железобетона, армированного арматурной сеткой по </w:t>
      </w:r>
      <w:r>
        <w:rPr>
          <w:sz w:val="24"/>
          <w:szCs w:val="24"/>
          <w:rFonts w:eastAsia="Calibri"/>
        </w:rPr>
        <w:t xml:space="preserve">ГОСТ 23279-85. Пространство между стенками заполняется уплотненным грунтом, далее выполняются песчаная и  щебеночная подготовка и устраивается монолитная железобетонная плита. </w:t>
      </w:r>
    </w:p>
    <w:p>
      <w:pPr>
        <w:pStyle w:val="style0"/>
        <w:ind w:firstLine="708" w:left="0" w:right="0"/>
      </w:pPr>
      <w:r>
        <w:rPr>
          <w:sz w:val="24"/>
          <w:szCs w:val="24"/>
          <w:rFonts w:eastAsia="Calibri"/>
        </w:rPr>
        <w:t xml:space="preserve">Ограждения пандусов выполнены из полированной нержавеющей стали. Поручни ограждений выполнить на высоте 700 и 900 мм. </w:t>
      </w:r>
    </w:p>
    <w:p>
      <w:pPr>
        <w:pStyle w:val="style0"/>
        <w:spacing w:after="200" w:before="0"/>
      </w:pPr>
      <w:r>
        <w:rPr>
          <w:sz w:val="24"/>
          <w:szCs w:val="24"/>
          <w:bCs/>
        </w:rPr>
      </w:r>
    </w:p>
    <w:p>
      <w:pPr>
        <w:pStyle w:val="style0"/>
        <w:spacing w:after="200" w:before="0"/>
      </w:pPr>
      <w:r>
        <w:rPr>
          <w:sz w:val="24"/>
          <w:b/>
          <w:szCs w:val="24"/>
          <w:bCs/>
        </w:rPr>
        <w:t>4. Описание и обоснование технических решений, обеспечивающих необходимую прочность, устойчивость, пространственную неизменяемость зданий и сооружений объекта капитального строительства в целом, а также их отдельных конструктивных элементов, узлов, деталей в процессе изготовления, перевозки, строительства и эксплуатации объекта капитального строительства</w:t>
      </w:r>
    </w:p>
    <w:p>
      <w:pPr>
        <w:pStyle w:val="style0"/>
      </w:pPr>
      <w:r>
        <w:rPr>
          <w:sz w:val="24"/>
          <w:szCs w:val="24"/>
        </w:rPr>
        <w:tab/>
      </w:r>
    </w:p>
    <w:p>
      <w:pPr>
        <w:pStyle w:val="style0"/>
        <w:ind w:firstLine="708" w:left="0" w:right="0"/>
      </w:pPr>
      <w:r>
        <w:rPr>
          <w:sz w:val="24"/>
          <w:szCs w:val="24"/>
        </w:rPr>
        <w:t xml:space="preserve">Материал пандуса принять бетон марки В15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75 </w:t>
      </w:r>
      <w:r>
        <w:rPr>
          <w:sz w:val="24"/>
          <w:szCs w:val="24"/>
          <w:lang w:val="en-US"/>
        </w:rPr>
        <w:t>W</w:t>
      </w:r>
      <w:r>
        <w:rPr>
          <w:sz w:val="24"/>
          <w:szCs w:val="24"/>
        </w:rPr>
        <w:t>6,</w:t>
      </w:r>
    </w:p>
    <w:p>
      <w:pPr>
        <w:pStyle w:val="style0"/>
        <w:ind w:firstLine="708" w:left="0" w:right="0"/>
      </w:pPr>
      <w:r>
        <w:rPr>
          <w:sz w:val="24"/>
          <w:szCs w:val="24"/>
        </w:rPr>
        <w:t xml:space="preserve">Бетонирование стенок, площадок и спусков пандуса вести непрерывно, без образования рабочих швов. Укладку бетонной смеси производить с тщательным уплотнением вибраторами. Работы выполнять в соответствии с требованиями СНиП 3.03.01-87 "Несущие и ограждающие конструкции". </w:t>
      </w:r>
    </w:p>
    <w:p>
      <w:pPr>
        <w:pStyle w:val="style0"/>
        <w:ind w:firstLine="708" w:left="0" w:right="0"/>
      </w:pPr>
      <w:r>
        <w:rPr>
          <w:sz w:val="24"/>
          <w:szCs w:val="24"/>
        </w:rPr>
        <w:t>Для соблюдения защитного слоя арматуры и проектного положения сетки использовать специальные фиксаторы.</w:t>
      </w:r>
    </w:p>
    <w:p>
      <w:pPr>
        <w:pStyle w:val="style0"/>
        <w:spacing w:after="200" w:before="0"/>
      </w:pPr>
      <w:r>
        <w:rPr>
          <w:sz w:val="24"/>
          <w:szCs w:val="24"/>
        </w:rPr>
      </w:r>
    </w:p>
    <w:p>
      <w:pPr>
        <w:pStyle w:val="style0"/>
      </w:pPr>
      <w:r>
        <w:rPr>
          <w:sz w:val="24"/>
          <w:b/>
          <w:szCs w:val="24"/>
          <w:bCs/>
        </w:rPr>
        <w:t>5. Описание конструктивных и технических решений подземной части объекта капитального строительства</w:t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Монолитные стенки пандуса, шириной 200 мм  заглублены в землю на 800 мм. Под стенки выполняется щебеночная подготовка толщиной 200 мм.</w:t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</w:pPr>
      <w:r>
        <w:rPr>
          <w:sz w:val="24"/>
          <w:b/>
          <w:szCs w:val="24"/>
          <w:bCs/>
        </w:rPr>
        <w:t>6. Описание и обоснование принятых объемно-планировочных решений зданий и сооружений объекта капитального строительства</w:t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</w:pPr>
      <w:r>
        <w:rPr>
          <w:sz w:val="24"/>
          <w:szCs w:val="24"/>
        </w:rPr>
        <w:tab/>
        <w:t xml:space="preserve">Размеры входного пандуса приняты в соответствии с требованиями СНиП 35-01-2001 «Доступность зданий и сооружений для маломобильных групп населения». </w:t>
      </w:r>
    </w:p>
    <w:p>
      <w:pPr>
        <w:pStyle w:val="style0"/>
        <w:ind w:firstLine="708" w:left="0" w:right="0"/>
      </w:pPr>
      <w:r>
        <w:rPr>
          <w:sz w:val="24"/>
          <w:szCs w:val="24"/>
        </w:rPr>
        <w:t xml:space="preserve">Уклон спусков принят 1:12. </w:t>
      </w:r>
    </w:p>
    <w:p>
      <w:pPr>
        <w:pStyle w:val="style0"/>
        <w:ind w:firstLine="708" w:left="0" w:right="0"/>
      </w:pPr>
      <w:r>
        <w:rPr>
          <w:sz w:val="24"/>
          <w:szCs w:val="24"/>
        </w:rPr>
        <w:t xml:space="preserve">Глубина разворотных площадок составляет 1,5 м. Ширина спусков 1,5 м. Максимальная высота одного подъема  составляет 0,5 м. </w:t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  <w:jc w:val="center"/>
        <w:pageBreakBefore/>
      </w:pPr>
      <w:r>
        <w:rPr>
          <w:sz w:val="24"/>
          <w:szCs w:val="24"/>
        </w:rPr>
        <w:t xml:space="preserve">   </w:t>
      </w:r>
      <w:r>
        <w:rPr>
          <w:sz w:val="18"/>
          <w:szCs w:val="18"/>
          <w:rFonts w:ascii="Journal" w:cs="Journal" w:hAnsi="Journal"/>
        </w:rPr>
        <w:t>Изм.</w:t>
      </w:r>
    </w:p>
    <w:p>
      <w:pPr>
        <w:pStyle w:val="style0"/>
        <w:jc w:val="center"/>
      </w:pPr>
      <w:r>
        <w:rPr>
          <w:sz w:val="18"/>
          <w:szCs w:val="18"/>
          <w:rFonts w:ascii="Journal" w:cs="Journal" w:hAnsi="Journal"/>
        </w:rPr>
        <w:t>Лист</w:t>
      </w:r>
    </w:p>
    <w:p>
      <w:pPr>
        <w:pStyle w:val="style0"/>
        <w:jc w:val="center"/>
      </w:pPr>
      <w:r>
        <w:rPr>
          <w:sz w:val="18"/>
          <w:szCs w:val="18"/>
          <w:rFonts w:ascii="Journal" w:cs="Journal" w:hAnsi="Journal"/>
        </w:rPr>
        <w:t xml:space="preserve">№ </w:t>
      </w:r>
      <w:r>
        <w:rPr>
          <w:sz w:val="18"/>
          <w:szCs w:val="18"/>
          <w:rFonts w:ascii="Journal" w:cs="Journal" w:hAnsi="Journal"/>
        </w:rPr>
        <w:t>докум.</w:t>
      </w:r>
    </w:p>
    <w:p>
      <w:pPr>
        <w:pStyle w:val="style0"/>
        <w:jc w:val="center"/>
      </w:pPr>
      <w:r>
        <w:rPr>
          <w:sz w:val="18"/>
          <w:szCs w:val="18"/>
          <w:rFonts w:ascii="Journal" w:cs="Journal" w:hAnsi="Journal"/>
        </w:rPr>
        <w:t>Подпись</w:t>
      </w:r>
    </w:p>
    <w:p>
      <w:pPr>
        <w:pStyle w:val="style0"/>
        <w:jc w:val="center"/>
      </w:pPr>
      <w:r>
        <w:rPr>
          <w:sz w:val="18"/>
          <w:szCs w:val="18"/>
          <w:rFonts w:ascii="Journal" w:cs="Journal" w:hAnsi="Journal"/>
        </w:rPr>
        <w:t>Дата</w:t>
      </w:r>
    </w:p>
    <w:p>
      <w:pPr>
        <w:pStyle w:val="style0"/>
        <w:jc w:val="center"/>
      </w:pPr>
      <w:r>
        <w:rPr>
          <w:sz w:val="18"/>
          <w:szCs w:val="18"/>
          <w:rFonts w:ascii="Journal" w:cs="Journal" w:hAnsi="Journal"/>
        </w:rPr>
        <w:t>Лист</w:t>
      </w:r>
    </w:p>
    <w:p>
      <w:pPr>
        <w:pStyle w:val="style0"/>
      </w:pPr>
      <w:r>
        <w:rPr/>
      </w:r>
    </w:p>
    <w:p>
      <w:pPr>
        <w:pStyle w:val="style0"/>
        <w:jc w:val="center"/>
      </w:pPr>
      <w:r>
        <w:rPr>
          <w:sz w:val="28"/>
          <w:i/>
          <w:szCs w:val="28"/>
          <w:rFonts w:ascii="ISOCPEUR" w:hAnsi="ISOCPEUR"/>
        </w:rPr>
        <w:t>А-008.6-11-АС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24"/>
          <w:b/>
          <w:szCs w:val="24"/>
          <w:bCs/>
        </w:rPr>
        <w:t>7. Обоснование проектных решений и мероприятий, обеспечивающих:</w:t>
      </w:r>
    </w:p>
    <w:p>
      <w:pPr>
        <w:pStyle w:val="style0"/>
      </w:pPr>
      <w:r>
        <w:rPr>
          <w:sz w:val="24"/>
          <w:b/>
          <w:szCs w:val="24"/>
          <w:bCs/>
        </w:rPr>
        <w:t>соблюдение требуемых теплозащитных характеристик ограждающих конструкций; снижение шума и вибраций; гидроизоляцию и пароизоляцию помещений; снижение загазованности помещений; удаление избытков тепла;</w:t>
      </w:r>
    </w:p>
    <w:p>
      <w:pPr>
        <w:pStyle w:val="style0"/>
      </w:pPr>
      <w:r>
        <w:rPr>
          <w:sz w:val="24"/>
          <w:b/>
          <w:szCs w:val="24"/>
          <w:bCs/>
        </w:rPr>
        <w:t>соблюдение безопасного уровня электромагнитных и иных излучений, соблюдение санитарно-гигиенических условий; пожарную безопасность</w:t>
      </w:r>
    </w:p>
    <w:p>
      <w:pPr>
        <w:pStyle w:val="style0"/>
        <w:ind w:firstLine="708" w:left="0" w:right="0"/>
      </w:pPr>
      <w:r>
        <w:rPr>
          <w:sz w:val="24"/>
          <w:b/>
          <w:szCs w:val="24"/>
          <w:bCs/>
        </w:rPr>
      </w:r>
    </w:p>
    <w:p>
      <w:pPr>
        <w:pStyle w:val="style0"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Подземные  части стенок пандуса необходимо покрыть 2 слоями  обмазочной гидроизоляции (битумом).</w:t>
      </w:r>
    </w:p>
    <w:p>
      <w:pPr>
        <w:pStyle w:val="style0"/>
        <w:ind w:firstLine="708" w:left="0" w:right="0"/>
      </w:pPr>
      <w:r>
        <w:rPr>
          <w:sz w:val="24"/>
          <w:szCs w:val="24"/>
        </w:rPr>
        <w:t>На путях эвакуации  для отделки стен, потолков, пола применены материалы с пожарной опасностью не ниже Г1, В1, Д2,Т2.</w:t>
      </w:r>
    </w:p>
    <w:p>
      <w:pPr>
        <w:pStyle w:val="style0"/>
        <w:spacing w:after="200" w:before="0"/>
      </w:pPr>
      <w:r>
        <w:rPr>
          <w:sz w:val="24"/>
          <w:b/>
          <w:szCs w:val="24"/>
          <w:bCs/>
        </w:rPr>
      </w:r>
    </w:p>
    <w:p>
      <w:pPr>
        <w:pStyle w:val="style0"/>
        <w:spacing w:after="200" w:before="0"/>
      </w:pPr>
      <w:r>
        <w:rPr>
          <w:sz w:val="24"/>
          <w:b/>
          <w:szCs w:val="24"/>
          <w:bCs/>
        </w:rPr>
        <w:t>8. Характеристика и обоснование конструкций полов, кровли, подвесных потолков, перегородок, а также отделки помещений</w:t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  <w:ind w:firstLine="708" w:left="0" w:right="0"/>
      </w:pPr>
      <w:r>
        <w:rPr>
          <w:sz w:val="24"/>
          <w:szCs w:val="24"/>
        </w:rPr>
      </w:r>
    </w:p>
    <w:p>
      <w:pPr>
        <w:pStyle w:val="style0"/>
        <w:ind w:firstLine="709" w:left="0" w:right="0"/>
      </w:pPr>
      <w:r>
        <w:rPr>
          <w:sz w:val="24"/>
          <w:szCs w:val="24"/>
        </w:rPr>
        <w:t>Отделка, принятая в проекте, соответствует требованиям СанПин 2.4.2.1178-02.</w:t>
      </w:r>
    </w:p>
    <w:p>
      <w:pPr>
        <w:pStyle w:val="style0"/>
        <w:ind w:firstLine="709" w:left="0" w:right="0"/>
      </w:pPr>
      <w:r>
        <w:rPr>
          <w:sz w:val="24"/>
          <w:szCs w:val="24"/>
        </w:rPr>
        <w:t>Для покрытия спусков и поворотных площадок использовать керамогранит нескользящий</w:t>
      </w:r>
    </w:p>
    <w:p>
      <w:pPr>
        <w:pStyle w:val="style0"/>
        <w:jc w:val="both"/>
      </w:pPr>
      <w:r>
        <w:rPr>
          <w:sz w:val="24"/>
          <w:szCs w:val="24"/>
        </w:rPr>
        <w:t xml:space="preserve">    </w:t>
      </w:r>
    </w:p>
    <w:p>
      <w:pPr>
        <w:pStyle w:val="style0"/>
      </w:pPr>
      <w:r>
        <w:rPr>
          <w:color w:val="000000"/>
          <w:sz w:val="24"/>
          <w:b/>
          <w:szCs w:val="24"/>
          <w:bCs/>
        </w:rPr>
        <w:t>9. Перечень мероприятий по защите строительных конструкций и фундаментов от разрушения</w:t>
      </w:r>
    </w:p>
    <w:p>
      <w:pPr>
        <w:pStyle w:val="style0"/>
      </w:pPr>
      <w:r>
        <w:rPr>
          <w:sz w:val="24"/>
          <w:szCs w:val="24"/>
        </w:rPr>
      </w:r>
    </w:p>
    <w:p>
      <w:pPr>
        <w:pStyle w:val="style0"/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>Подземные  части стенок пандуса необходимо покрыть 2 слоями  обмазочной гидроизоляции (битумом).</w:t>
      </w:r>
    </w:p>
    <w:p>
      <w:pPr>
        <w:pStyle w:val="style0"/>
        <w:spacing w:line="360" w:lineRule="atLeast"/>
      </w:pPr>
      <w:r>
        <w:rPr>
          <w:sz w:val="28"/>
          <w:szCs w:val="28"/>
        </w:rPr>
        <w:t xml:space="preserve"> </w:t>
      </w:r>
    </w:p>
    <w:sectPr>
      <w:formProt w:val="off"/>
      <w:pgSz w:h="16837" w:w="11905"/>
      <w:textDirection w:val="lrTb"/>
      <w:pgNumType w:fmt="decimal"/>
      <w:type w:val="nextPage"/>
      <w:pgMar w:bottom="1134" w:left="1418" w:right="567" w:top="102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auto"/>
    <w:pitch w:val="default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jc w:val="left"/>
      <w:widowControl/>
      <w:tabs>
        <w:tab w:leader="none" w:pos="709" w:val="left"/>
      </w:tabs>
      <w:suppressAutoHyphens w:val="true"/>
      <w:spacing w:after="0" w:before="0" w:line="200" w:lineRule="atLeast"/>
    </w:pPr>
    <w:rPr>
      <w:color w:val="auto"/>
      <w:sz w:val="20"/>
      <w:szCs w:val="20"/>
      <w:rFonts w:ascii="Times New Roman" w:cs="Times New Roman" w:eastAsia="Times New Roman" w:hAnsi="Times New Roman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Верхний колонтитул Знак"/>
    <w:basedOn w:val="style15"/>
    <w:next w:val="style16"/>
    <w:rPr/>
  </w:style>
  <w:style w:styleId="style17" w:type="character">
    <w:name w:val="Нижний колонтитул Знак"/>
    <w:basedOn w:val="style15"/>
    <w:next w:val="style17"/>
    <w:rPr/>
  </w:style>
  <w:style w:styleId="style18" w:type="character">
    <w:name w:val="page number"/>
    <w:basedOn w:val="style15"/>
    <w:next w:val="style18"/>
    <w:rPr/>
  </w:style>
  <w:style w:styleId="style19" w:type="character">
    <w:name w:val="Основной текст с отступом 2 Знак"/>
    <w:basedOn w:val="style15"/>
    <w:next w:val="style19"/>
    <w:rPr/>
  </w:style>
  <w:style w:styleId="style20" w:type="character">
    <w:name w:val="Основной текст Знак"/>
    <w:basedOn w:val="style15"/>
    <w:next w:val="style20"/>
    <w:rPr/>
  </w:style>
  <w:style w:styleId="style21" w:type="paragraph">
    <w:name w:val="Заголовок"/>
    <w:basedOn w:val="style0"/>
    <w:next w:val="style22"/>
    <w:pPr>
      <w:keepNext/>
      <w:spacing w:after="120" w:before="240"/>
    </w:pPr>
    <w:rPr>
      <w:sz w:val="28"/>
      <w:szCs w:val="28"/>
      <w:rFonts w:ascii="Arial" w:cs="Tahoma" w:eastAsia="Lucida Sans Unicode" w:hAnsi="Arial"/>
    </w:rPr>
  </w:style>
  <w:style w:styleId="style22" w:type="paragraph">
    <w:name w:val="Основной текст"/>
    <w:basedOn w:val="style0"/>
    <w:next w:val="style22"/>
    <w:pPr>
      <w:spacing w:after="120" w:before="0"/>
    </w:pPr>
    <w:rPr/>
  </w:style>
  <w:style w:styleId="style23" w:type="paragraph">
    <w:name w:val="Список"/>
    <w:basedOn w:val="style22"/>
    <w:next w:val="style23"/>
    <w:pPr/>
    <w:rPr>
      <w:rFonts w:ascii="Arial" w:cs="Tahoma" w:hAnsi="Arial"/>
    </w:rPr>
  </w:style>
  <w:style w:styleId="style24" w:type="paragraph">
    <w:name w:val="Название"/>
    <w:basedOn w:val="style0"/>
    <w:next w:val="style24"/>
    <w:pPr>
      <w:suppressLineNumbers/>
      <w:spacing w:after="120" w:before="120"/>
    </w:pPr>
    <w:rPr>
      <w:sz w:val="20"/>
      <w:i/>
      <w:szCs w:val="24"/>
      <w:iCs/>
      <w:rFonts w:ascii="Arial" w:cs="Tahoma" w:hAnsi="Arial"/>
    </w:rPr>
  </w:style>
  <w:style w:styleId="style25" w:type="paragraph">
    <w:name w:val="Указатель"/>
    <w:basedOn w:val="style0"/>
    <w:next w:val="style25"/>
    <w:pPr>
      <w:suppressLineNumbers/>
    </w:pPr>
    <w:rPr>
      <w:rFonts w:ascii="Arial" w:cs="Tahoma" w:hAnsi="Arial"/>
    </w:rPr>
  </w:style>
  <w:style w:styleId="style26" w:type="paragraph">
    <w:name w:val="Верхний колонтитул"/>
    <w:basedOn w:val="style0"/>
    <w:next w:val="style26"/>
    <w:pPr>
      <w:tabs>
        <w:tab w:leader="none" w:pos="4677" w:val="center"/>
        <w:tab w:leader="none" w:pos="9355" w:val="right"/>
      </w:tabs>
      <w:suppressLineNumbers/>
    </w:pPr>
    <w:rPr/>
  </w:style>
  <w:style w:styleId="style27" w:type="paragraph">
    <w:name w:val="Нижний колонтитул"/>
    <w:basedOn w:val="style0"/>
    <w:next w:val="style27"/>
    <w:pPr>
      <w:tabs>
        <w:tab w:leader="none" w:pos="4677" w:val="center"/>
        <w:tab w:leader="none" w:pos="9355" w:val="right"/>
      </w:tabs>
      <w:suppressLineNumbers/>
    </w:pPr>
    <w:rPr/>
  </w:style>
  <w:style w:styleId="style28" w:type="paragraph">
    <w:name w:val="Обычный1"/>
    <w:next w:val="style28"/>
    <w:pPr>
      <w:widowControl w:val="off"/>
      <w:tabs>
        <w:tab w:leader="none" w:pos="709" w:val="left"/>
      </w:tabs>
      <w:suppressAutoHyphens w:val="true"/>
      <w:spacing w:after="0" w:before="0" w:line="200" w:lineRule="atLeast"/>
    </w:pPr>
    <w:rPr>
      <w:color w:val="auto"/>
      <w:sz w:val="22"/>
      <w:szCs w:val="22"/>
      <w:rFonts w:ascii="Calibri" w:cs="Times New Roman" w:eastAsia="Calibri" w:hAnsi="Calibri"/>
      <w:lang w:bidi="ar-SA" w:eastAsia="ru-RU" w:val="ru-RU"/>
    </w:rPr>
  </w:style>
  <w:style w:styleId="style29" w:type="paragraph">
    <w:name w:val="List Paragraph"/>
    <w:basedOn w:val="style0"/>
    <w:next w:val="style29"/>
    <w:pPr/>
    <w:rPr/>
  </w:style>
  <w:style w:styleId="style30" w:type="paragraph">
    <w:name w:val="Normal (Web)"/>
    <w:basedOn w:val="style0"/>
    <w:next w:val="style30"/>
    <w:pPr/>
    <w:rPr/>
  </w:style>
  <w:style w:styleId="style31" w:type="paragraph">
    <w:name w:val="Body Text Indent 2"/>
    <w:basedOn w:val="style0"/>
    <w:next w:val="style31"/>
    <w:pPr/>
    <w:rPr/>
  </w:style>
  <w:style w:styleId="style32" w:type="paragraph">
    <w:name w:val="Чертежный"/>
    <w:next w:val="style32"/>
    <w:pPr>
      <w:widowControl w:val="off"/>
      <w:tabs>
        <w:tab w:leader="none" w:pos="709" w:val="left"/>
      </w:tabs>
      <w:suppressAutoHyphens w:val="true"/>
      <w:spacing w:after="0" w:before="0" w:line="200" w:lineRule="atLeast"/>
    </w:pPr>
    <w:rPr>
      <w:color w:val="auto"/>
      <w:sz w:val="22"/>
      <w:szCs w:val="22"/>
      <w:rFonts w:ascii="Calibri" w:cs="Times New Roman" w:eastAsia="Calibri" w:hAnsi="Calibri"/>
      <w:lang w:bidi="ar-SA" w:eastAsia="ru-RU" w:val="ru-RU"/>
    </w:rPr>
  </w:style>
  <w:style w:styleId="style33" w:type="paragraph">
    <w:name w:val="Содержимое врезки"/>
    <w:basedOn w:val="style22"/>
    <w:next w:val="style33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2011-07-26T02:48:00.00Z</dcterms:created>
  <dc:creator>User</dc:creator>
  <cp:lastModifiedBy>Admin</cp:lastModifiedBy>
  <cp:lastPrinted>2011-06-30T08:36:00.00Z</cp:lastPrinted>
  <dcterms:modified xsi:type="dcterms:W3CDTF">2011-09-06T05:06:00.00Z</dcterms:modified>
  <cp:revision>11</cp:revision>
</cp:coreProperties>
</file>