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BD129D" w:rsidRPr="00BD129D">
        <w:rPr>
          <w:rFonts w:ascii="PT Astra Serif" w:hAnsi="PT Astra Serif"/>
          <w:sz w:val="24"/>
          <w:szCs w:val="24"/>
        </w:rPr>
        <w:t xml:space="preserve">передаче неисключительных прав на использование программного обеспечения VipNet </w:t>
      </w:r>
      <w:proofErr w:type="spellStart"/>
      <w:r w:rsidR="00BD129D" w:rsidRPr="00BD129D">
        <w:rPr>
          <w:rFonts w:ascii="PT Astra Serif" w:hAnsi="PT Astra Serif"/>
          <w:sz w:val="24"/>
          <w:szCs w:val="24"/>
        </w:rPr>
        <w:t>Client</w:t>
      </w:r>
      <w:proofErr w:type="spellEnd"/>
      <w:r w:rsidR="00EC2A72">
        <w:rPr>
          <w:rFonts w:ascii="PT Astra Serif" w:hAnsi="PT Astra Serif"/>
          <w:sz w:val="24"/>
          <w:szCs w:val="24"/>
        </w:rPr>
        <w:t xml:space="preserve"> </w:t>
      </w:r>
      <w:r w:rsidR="00EC2A72" w:rsidRPr="00EC2A72">
        <w:rPr>
          <w:rFonts w:ascii="PT Astra Serif" w:hAnsi="PT Astra Serif"/>
          <w:sz w:val="24"/>
          <w:szCs w:val="24"/>
        </w:rPr>
        <w:t xml:space="preserve">(код ОКПД2 </w:t>
      </w:r>
      <w:r w:rsidR="00BD129D" w:rsidRPr="00BD129D">
        <w:rPr>
          <w:rFonts w:ascii="PT Astra Serif" w:hAnsi="PT Astra Serif"/>
          <w:sz w:val="24"/>
          <w:szCs w:val="24"/>
        </w:rPr>
        <w:t>63.11.13.000</w:t>
      </w:r>
      <w:r w:rsidR="00EC2A72" w:rsidRPr="00EC2A72">
        <w:rPr>
          <w:rFonts w:ascii="PT Astra Serif" w:hAnsi="PT Astra Serif"/>
          <w:sz w:val="24"/>
          <w:szCs w:val="24"/>
        </w:rPr>
        <w: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0A0949" w:rsidRPr="000A0949" w:rsidRDefault="000A0949" w:rsidP="000A0949">
      <w:pPr>
        <w:widowControl w:val="0"/>
        <w:tabs>
          <w:tab w:val="left" w:pos="709"/>
        </w:tabs>
        <w:suppressAutoHyphens/>
        <w:ind w:firstLine="709"/>
        <w:rPr>
          <w:rFonts w:ascii="PT Astra Serif" w:hAnsi="PT Astra Serif"/>
          <w:color w:val="00000A"/>
          <w:sz w:val="24"/>
        </w:rPr>
      </w:pPr>
      <w:r w:rsidRPr="000A0949">
        <w:rPr>
          <w:rFonts w:ascii="PT Astra Serif" w:hAnsi="PT Astra Serif"/>
          <w:b/>
          <w:color w:val="00000A"/>
          <w:sz w:val="24"/>
        </w:rPr>
        <w:t>2.</w:t>
      </w:r>
      <w:r w:rsidRPr="000A0949">
        <w:rPr>
          <w:rFonts w:ascii="PT Astra Serif" w:hAnsi="PT Astra Serif"/>
          <w:color w:val="00000A"/>
          <w:sz w:val="24"/>
        </w:rPr>
        <w:t xml:space="preserve"> </w:t>
      </w:r>
      <w:r w:rsidRPr="000A0949">
        <w:rPr>
          <w:rFonts w:ascii="PT Astra Serif" w:hAnsi="PT Astra Serif"/>
          <w:b/>
          <w:color w:val="00000A"/>
          <w:sz w:val="24"/>
        </w:rPr>
        <w:t>Общие требования к предоставляемым услугам:</w:t>
      </w:r>
    </w:p>
    <w:p w:rsidR="000A0949" w:rsidRPr="000A0949" w:rsidRDefault="000A0949" w:rsidP="000A0949">
      <w:pPr>
        <w:widowControl w:val="0"/>
        <w:tabs>
          <w:tab w:val="left" w:pos="709"/>
        </w:tabs>
        <w:suppressAutoHyphens/>
        <w:ind w:firstLine="709"/>
        <w:rPr>
          <w:rFonts w:ascii="PT Astra Serif" w:hAnsi="PT Astra Serif"/>
          <w:color w:val="00000A"/>
          <w:sz w:val="24"/>
          <w:szCs w:val="24"/>
        </w:rPr>
      </w:pPr>
      <w:r w:rsidRPr="000A0949">
        <w:rPr>
          <w:rFonts w:ascii="PT Astra Serif" w:hAnsi="PT Astra Serif"/>
          <w:color w:val="00000A"/>
          <w:sz w:val="24"/>
          <w:szCs w:val="24"/>
        </w:rPr>
        <w:t>2.1. Место оказания услуг: по месту нахождения Исполнителя.</w:t>
      </w:r>
    </w:p>
    <w:p w:rsidR="000A0949" w:rsidRPr="000A0949" w:rsidRDefault="000A0949" w:rsidP="000A0949">
      <w:pPr>
        <w:ind w:firstLine="709"/>
        <w:jc w:val="both"/>
        <w:rPr>
          <w:rFonts w:ascii="PT Astra Serif" w:hAnsi="PT Astra Serif"/>
          <w:sz w:val="24"/>
          <w:szCs w:val="24"/>
        </w:rPr>
      </w:pPr>
      <w:r w:rsidRPr="000A0949">
        <w:rPr>
          <w:rFonts w:ascii="PT Astra Serif" w:hAnsi="PT Astra Serif"/>
          <w:sz w:val="24"/>
          <w:szCs w:val="24"/>
        </w:rPr>
        <w:t>2.2. Исполнитель передаёт Заказчику неисключительные права на использование следующ</w:t>
      </w:r>
      <w:r>
        <w:rPr>
          <w:rFonts w:ascii="PT Astra Serif" w:hAnsi="PT Astra Serif"/>
          <w:sz w:val="24"/>
          <w:szCs w:val="24"/>
        </w:rPr>
        <w:t>их</w:t>
      </w:r>
      <w:r w:rsidRPr="000A0949">
        <w:rPr>
          <w:rFonts w:ascii="PT Astra Serif" w:hAnsi="PT Astra Serif"/>
          <w:sz w:val="24"/>
          <w:szCs w:val="24"/>
        </w:rPr>
        <w:t xml:space="preserve"> программных средств криптографической защиты информации:</w:t>
      </w:r>
    </w:p>
    <w:p w:rsidR="000A0949" w:rsidRPr="000A0949" w:rsidRDefault="000A0949" w:rsidP="000A0949">
      <w:pPr>
        <w:widowControl w:val="0"/>
        <w:tabs>
          <w:tab w:val="left" w:pos="709"/>
        </w:tabs>
        <w:suppressAutoHyphens/>
        <w:ind w:firstLine="709"/>
        <w:jc w:val="both"/>
        <w:rPr>
          <w:rFonts w:ascii="PT Astra Serif" w:hAnsi="PT Astra Serif"/>
          <w:color w:val="00000A"/>
          <w:sz w:val="24"/>
        </w:rPr>
      </w:pPr>
    </w:p>
    <w:tbl>
      <w:tblPr>
        <w:tblW w:w="10319" w:type="dxa"/>
        <w:tblInd w:w="-5" w:type="dxa"/>
        <w:tblLayout w:type="fixed"/>
        <w:tblLook w:val="0000" w:firstRow="0" w:lastRow="0" w:firstColumn="0" w:lastColumn="0" w:noHBand="0" w:noVBand="0"/>
      </w:tblPr>
      <w:tblGrid>
        <w:gridCol w:w="680"/>
        <w:gridCol w:w="2203"/>
        <w:gridCol w:w="6444"/>
        <w:gridCol w:w="992"/>
      </w:tblGrid>
      <w:tr w:rsidR="000A0949" w:rsidRPr="000A0949" w:rsidTr="000A0949">
        <w:tc>
          <w:tcPr>
            <w:tcW w:w="680" w:type="dxa"/>
            <w:tcBorders>
              <w:top w:val="single" w:sz="4" w:space="0" w:color="000000"/>
              <w:left w:val="single" w:sz="4" w:space="0" w:color="000000"/>
              <w:bottom w:val="single" w:sz="4" w:space="0" w:color="auto"/>
            </w:tcBorders>
          </w:tcPr>
          <w:p w:rsidR="000A0949" w:rsidRPr="000A0949" w:rsidRDefault="000A0949" w:rsidP="000A0949">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 п/п</w:t>
            </w:r>
          </w:p>
        </w:tc>
        <w:tc>
          <w:tcPr>
            <w:tcW w:w="2203" w:type="dxa"/>
            <w:tcBorders>
              <w:top w:val="single" w:sz="4" w:space="0" w:color="000000"/>
              <w:left w:val="single" w:sz="4" w:space="0" w:color="000000"/>
              <w:bottom w:val="single" w:sz="4" w:space="0" w:color="auto"/>
              <w:right w:val="single" w:sz="4" w:space="0" w:color="auto"/>
            </w:tcBorders>
          </w:tcPr>
          <w:p w:rsidR="000A0949" w:rsidRPr="000A0949" w:rsidRDefault="000A0949" w:rsidP="000A0949">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0A0949" w:rsidRPr="000A0949" w:rsidRDefault="000A0949" w:rsidP="000A0949">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0A0949" w:rsidRPr="000A0949" w:rsidRDefault="000A0949" w:rsidP="000A0949">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 xml:space="preserve">Количество, </w:t>
            </w:r>
            <w:proofErr w:type="spellStart"/>
            <w:r w:rsidRPr="000A0949">
              <w:rPr>
                <w:rFonts w:ascii="PT Astra Serif" w:hAnsi="PT Astra Serif"/>
                <w:color w:val="00000A"/>
                <w:sz w:val="22"/>
                <w:szCs w:val="22"/>
                <w:lang w:eastAsia="ar-SA"/>
              </w:rPr>
              <w:t>шт</w:t>
            </w:r>
            <w:proofErr w:type="spellEnd"/>
          </w:p>
        </w:tc>
      </w:tr>
      <w:tr w:rsidR="000A0949" w:rsidRPr="000A0949" w:rsidTr="000A0949">
        <w:trPr>
          <w:trHeight w:val="787"/>
        </w:trPr>
        <w:tc>
          <w:tcPr>
            <w:tcW w:w="680" w:type="dxa"/>
            <w:tcBorders>
              <w:top w:val="single" w:sz="4" w:space="0" w:color="auto"/>
              <w:left w:val="single" w:sz="4" w:space="0" w:color="auto"/>
              <w:bottom w:val="single" w:sz="4" w:space="0" w:color="auto"/>
              <w:right w:val="single" w:sz="4" w:space="0" w:color="auto"/>
            </w:tcBorders>
          </w:tcPr>
          <w:p w:rsidR="000A0949" w:rsidRPr="000A0949" w:rsidRDefault="000A0949" w:rsidP="000A0949">
            <w:pPr>
              <w:widowControl w:val="0"/>
              <w:tabs>
                <w:tab w:val="left" w:pos="709"/>
              </w:tabs>
              <w:suppressAutoHyphens/>
              <w:snapToGrid w:val="0"/>
              <w:jc w:val="center"/>
              <w:rPr>
                <w:rFonts w:ascii="PT Astra Serif" w:hAnsi="PT Astra Serif"/>
                <w:color w:val="000000"/>
                <w:sz w:val="22"/>
                <w:szCs w:val="22"/>
                <w:lang w:eastAsia="ar-SA"/>
              </w:rPr>
            </w:pPr>
            <w:r w:rsidRPr="000A0949">
              <w:rPr>
                <w:rFonts w:ascii="PT Astra Serif" w:hAnsi="PT Astra Serif"/>
                <w:color w:val="000000"/>
                <w:sz w:val="22"/>
                <w:szCs w:val="22"/>
                <w:lang w:eastAsia="ar-SA"/>
              </w:rPr>
              <w:t>1</w:t>
            </w:r>
          </w:p>
        </w:tc>
        <w:tc>
          <w:tcPr>
            <w:tcW w:w="2203" w:type="dxa"/>
            <w:tcBorders>
              <w:top w:val="single" w:sz="4" w:space="0" w:color="auto"/>
              <w:left w:val="single" w:sz="4" w:space="0" w:color="auto"/>
              <w:bottom w:val="single" w:sz="4" w:space="0" w:color="auto"/>
              <w:right w:val="single" w:sz="4" w:space="0" w:color="auto"/>
            </w:tcBorders>
          </w:tcPr>
          <w:p w:rsidR="000A0949" w:rsidRPr="000A0949" w:rsidRDefault="000A0949" w:rsidP="000A0949">
            <w:pPr>
              <w:snapToGrid w:val="0"/>
              <w:rPr>
                <w:rFonts w:ascii="PT Astra Serif" w:hAnsi="PT Astra Serif" w:cs="Tahoma"/>
                <w:color w:val="590000"/>
                <w:sz w:val="22"/>
                <w:szCs w:val="22"/>
              </w:rPr>
            </w:pPr>
            <w:r w:rsidRPr="000A0949">
              <w:rPr>
                <w:rFonts w:ascii="PT Astra Serif" w:hAnsi="PT Astra Serif"/>
                <w:sz w:val="22"/>
                <w:szCs w:val="22"/>
              </w:rPr>
              <w:t xml:space="preserve">Передача неисключительных прав (лицензий) на использование ПО ViPNet </w:t>
            </w:r>
            <w:proofErr w:type="spellStart"/>
            <w:r w:rsidRPr="000A0949">
              <w:rPr>
                <w:rFonts w:ascii="PT Astra Serif" w:hAnsi="PT Astra Serif"/>
                <w:sz w:val="22"/>
                <w:szCs w:val="22"/>
              </w:rPr>
              <w:t>Client</w:t>
            </w:r>
            <w:proofErr w:type="spellEnd"/>
            <w:r w:rsidRPr="000A0949">
              <w:rPr>
                <w:rFonts w:ascii="PT Astra Serif" w:hAnsi="PT Astra Serif"/>
                <w:sz w:val="22"/>
                <w:szCs w:val="22"/>
              </w:rPr>
              <w:t xml:space="preserve"> </w:t>
            </w:r>
            <w:proofErr w:type="spellStart"/>
            <w:r w:rsidRPr="000A0949">
              <w:rPr>
                <w:rFonts w:ascii="PT Astra Serif" w:hAnsi="PT Astra Serif"/>
                <w:sz w:val="22"/>
                <w:szCs w:val="22"/>
              </w:rPr>
              <w:t>for</w:t>
            </w:r>
            <w:proofErr w:type="spellEnd"/>
            <w:r w:rsidRPr="000A0949">
              <w:rPr>
                <w:rFonts w:ascii="PT Astra Serif" w:hAnsi="PT Astra Serif"/>
                <w:sz w:val="22"/>
                <w:szCs w:val="22"/>
              </w:rPr>
              <w:t xml:space="preserve"> </w:t>
            </w:r>
            <w:proofErr w:type="spellStart"/>
            <w:r w:rsidRPr="000A0949">
              <w:rPr>
                <w:rFonts w:ascii="PT Astra Serif" w:hAnsi="PT Astra Serif"/>
                <w:sz w:val="22"/>
                <w:szCs w:val="22"/>
              </w:rPr>
              <w:t>Windows</w:t>
            </w:r>
            <w:proofErr w:type="spellEnd"/>
            <w:r w:rsidRPr="000A0949">
              <w:rPr>
                <w:rFonts w:ascii="PT Astra Serif" w:hAnsi="PT Astra Serif"/>
                <w:sz w:val="22"/>
                <w:szCs w:val="22"/>
              </w:rPr>
              <w:t xml:space="preserve"> 4.x (КС3)*</w:t>
            </w:r>
          </w:p>
        </w:tc>
        <w:tc>
          <w:tcPr>
            <w:tcW w:w="6444" w:type="dxa"/>
            <w:tcBorders>
              <w:top w:val="single" w:sz="4" w:space="0" w:color="auto"/>
              <w:left w:val="single" w:sz="4" w:space="0" w:color="auto"/>
              <w:bottom w:val="single" w:sz="4" w:space="0" w:color="auto"/>
              <w:right w:val="single" w:sz="4" w:space="0" w:color="auto"/>
            </w:tcBorders>
          </w:tcPr>
          <w:p w:rsidR="000A0949" w:rsidRPr="000A0949" w:rsidRDefault="000A0949" w:rsidP="000A0949">
            <w:pPr>
              <w:autoSpaceDE w:val="0"/>
              <w:autoSpaceDN w:val="0"/>
              <w:adjustRightInd w:val="0"/>
              <w:jc w:val="both"/>
              <w:rPr>
                <w:rFonts w:ascii="PT Astra Serif" w:hAnsi="PT Astra Serif"/>
                <w:sz w:val="22"/>
                <w:szCs w:val="22"/>
              </w:rPr>
            </w:pPr>
            <w:r w:rsidRPr="000A0949">
              <w:rPr>
                <w:rFonts w:ascii="PT Astra Serif" w:hAnsi="PT Astra Serif"/>
                <w:sz w:val="22"/>
                <w:szCs w:val="22"/>
              </w:rPr>
              <w:t xml:space="preserve">Передача неисключительного права на использование программного обеспечения, реализующего функции криптографического клиента для защиты каналов связи. </w:t>
            </w:r>
          </w:p>
          <w:p w:rsidR="000A0949" w:rsidRPr="000A0949" w:rsidRDefault="000A0949" w:rsidP="000A0949">
            <w:pPr>
              <w:autoSpaceDE w:val="0"/>
              <w:autoSpaceDN w:val="0"/>
              <w:adjustRightInd w:val="0"/>
              <w:rPr>
                <w:rFonts w:ascii="PT Astra Serif" w:hAnsi="PT Astra Serif"/>
                <w:sz w:val="22"/>
                <w:szCs w:val="22"/>
                <w:u w:val="single"/>
              </w:rPr>
            </w:pPr>
            <w:r w:rsidRPr="000A0949">
              <w:rPr>
                <w:rFonts w:ascii="PT Astra Serif" w:hAnsi="PT Astra Serif"/>
                <w:sz w:val="22"/>
                <w:szCs w:val="22"/>
                <w:u w:val="single"/>
              </w:rPr>
              <w:t>Характеристики программного обеспечения:</w:t>
            </w:r>
          </w:p>
          <w:p w:rsidR="000A0949" w:rsidRPr="000A0949" w:rsidRDefault="000A0949" w:rsidP="000A0949">
            <w:pPr>
              <w:jc w:val="both"/>
              <w:rPr>
                <w:rFonts w:eastAsia="Calibri"/>
                <w:sz w:val="22"/>
                <w:szCs w:val="22"/>
              </w:rPr>
            </w:pPr>
            <w:r w:rsidRPr="000A0949">
              <w:rPr>
                <w:sz w:val="22"/>
                <w:szCs w:val="22"/>
              </w:rPr>
              <w:t xml:space="preserve">1) Совместимость с VPN-узлами защищённой сети </w:t>
            </w:r>
            <w:r w:rsidRPr="000A0949">
              <w:rPr>
                <w:sz w:val="22"/>
                <w:szCs w:val="22"/>
                <w:lang w:val="en-US"/>
              </w:rPr>
              <w:t>VipNet</w:t>
            </w:r>
            <w:r w:rsidRPr="000A0949">
              <w:rPr>
                <w:sz w:val="22"/>
                <w:szCs w:val="22"/>
              </w:rPr>
              <w:t xml:space="preserve"> №</w:t>
            </w:r>
            <w:r>
              <w:rPr>
                <w:sz w:val="22"/>
                <w:szCs w:val="22"/>
              </w:rPr>
              <w:t xml:space="preserve"> </w:t>
            </w:r>
            <w:r w:rsidRPr="000A0949">
              <w:rPr>
                <w:sz w:val="22"/>
                <w:szCs w:val="22"/>
              </w:rPr>
              <w:t>3901 (эксплуатируется Заказчиком)</w:t>
            </w:r>
            <w:r w:rsidRPr="000A0949">
              <w:rPr>
                <w:rFonts w:eastAsia="Calibri"/>
                <w:sz w:val="22"/>
                <w:szCs w:val="22"/>
              </w:rPr>
              <w:t>;</w:t>
            </w:r>
          </w:p>
          <w:p w:rsidR="000A0949" w:rsidRPr="000A0949" w:rsidRDefault="000A0949" w:rsidP="000A0949">
            <w:pPr>
              <w:jc w:val="both"/>
              <w:rPr>
                <w:sz w:val="22"/>
                <w:szCs w:val="22"/>
              </w:rPr>
            </w:pPr>
            <w:r w:rsidRPr="000A0949">
              <w:rPr>
                <w:rFonts w:eastAsia="Calibri"/>
                <w:sz w:val="22"/>
                <w:szCs w:val="22"/>
              </w:rPr>
              <w:t xml:space="preserve">2) </w:t>
            </w:r>
            <w:r w:rsidRPr="000A0949">
              <w:rPr>
                <w:sz w:val="22"/>
                <w:szCs w:val="22"/>
              </w:rPr>
              <w:t xml:space="preserve">Программное обеспечение криптографического клиента функционирует на ОС семейства </w:t>
            </w:r>
            <w:proofErr w:type="spellStart"/>
            <w:r w:rsidRPr="000A0949">
              <w:rPr>
                <w:sz w:val="22"/>
                <w:szCs w:val="22"/>
              </w:rPr>
              <w:t>Windows</w:t>
            </w:r>
            <w:proofErr w:type="spellEnd"/>
            <w:r w:rsidRPr="000A0949">
              <w:rPr>
                <w:sz w:val="22"/>
                <w:szCs w:val="22"/>
              </w:rPr>
              <w:t xml:space="preserve"> (имеются в наличии у Заказчика): </w:t>
            </w:r>
            <w:proofErr w:type="spellStart"/>
            <w:r w:rsidRPr="000A0949">
              <w:rPr>
                <w:sz w:val="22"/>
                <w:szCs w:val="22"/>
              </w:rPr>
              <w:t>Windows</w:t>
            </w:r>
            <w:proofErr w:type="spellEnd"/>
            <w:r w:rsidRPr="000A0949">
              <w:rPr>
                <w:sz w:val="22"/>
                <w:szCs w:val="22"/>
              </w:rPr>
              <w:t xml:space="preserve"> 7, </w:t>
            </w:r>
            <w:r w:rsidRPr="000A0949">
              <w:rPr>
                <w:sz w:val="22"/>
                <w:szCs w:val="22"/>
                <w:lang w:val="en-US"/>
              </w:rPr>
              <w:t>Windows</w:t>
            </w:r>
            <w:r w:rsidRPr="000A0949">
              <w:rPr>
                <w:sz w:val="22"/>
                <w:szCs w:val="22"/>
              </w:rPr>
              <w:t xml:space="preserve"> 8.1, </w:t>
            </w:r>
            <w:r w:rsidRPr="000A0949">
              <w:rPr>
                <w:sz w:val="22"/>
                <w:szCs w:val="22"/>
                <w:lang w:val="en-US"/>
              </w:rPr>
              <w:t>Windows</w:t>
            </w:r>
            <w:r w:rsidRPr="000A0949">
              <w:rPr>
                <w:sz w:val="22"/>
                <w:szCs w:val="22"/>
              </w:rPr>
              <w:t xml:space="preserve"> 10;</w:t>
            </w:r>
          </w:p>
          <w:p w:rsidR="000A0949" w:rsidRPr="000A0949" w:rsidRDefault="000A0949" w:rsidP="000A0949">
            <w:pPr>
              <w:ind w:right="34"/>
              <w:jc w:val="both"/>
              <w:rPr>
                <w:sz w:val="22"/>
                <w:szCs w:val="22"/>
              </w:rPr>
            </w:pPr>
            <w:r w:rsidRPr="000A0949">
              <w:rPr>
                <w:sz w:val="22"/>
                <w:szCs w:val="22"/>
              </w:rPr>
              <w:t>3) Наличие функционала клиента службы обмена файлами и сообщениями, защищённой электронной почты с функциями шифрования писем и вложений для обмена с другими криптографическими клиентами;</w:t>
            </w:r>
          </w:p>
          <w:p w:rsidR="000A0949" w:rsidRPr="000A0949" w:rsidRDefault="000A0949" w:rsidP="000A0949">
            <w:pPr>
              <w:ind w:right="34"/>
              <w:jc w:val="both"/>
              <w:rPr>
                <w:sz w:val="22"/>
                <w:szCs w:val="22"/>
              </w:rPr>
            </w:pPr>
            <w:r w:rsidRPr="000A0949">
              <w:rPr>
                <w:sz w:val="22"/>
                <w:szCs w:val="22"/>
              </w:rPr>
              <w:t>4) Возможность взаимодействия с другими криптографическими клиентами с использованием технологии «клиент-клиент» (без использования криптографического шлюза);</w:t>
            </w:r>
          </w:p>
          <w:p w:rsidR="000A0949" w:rsidRPr="000A0949" w:rsidRDefault="000A0949" w:rsidP="000A0949">
            <w:pPr>
              <w:ind w:right="34"/>
              <w:jc w:val="both"/>
              <w:rPr>
                <w:sz w:val="22"/>
                <w:szCs w:val="22"/>
              </w:rPr>
            </w:pPr>
            <w:r w:rsidRPr="000A0949">
              <w:rPr>
                <w:sz w:val="22"/>
                <w:szCs w:val="22"/>
              </w:rPr>
              <w:t>5) Наличие действующего сертификата ФСБ России о соответствии требованиям к средствам криптографической защиты информации по классу КС3.</w:t>
            </w:r>
          </w:p>
          <w:p w:rsidR="000A0949" w:rsidRPr="000A0949" w:rsidRDefault="000A0949" w:rsidP="000A0949">
            <w:pPr>
              <w:autoSpaceDE w:val="0"/>
              <w:autoSpaceDN w:val="0"/>
              <w:adjustRightInd w:val="0"/>
              <w:rPr>
                <w:rFonts w:ascii="PT Astra Serif" w:eastAsia="Arial" w:hAnsi="PT Astra Serif" w:cs="Tahoma"/>
                <w:color w:val="000080"/>
                <w:sz w:val="22"/>
                <w:szCs w:val="22"/>
              </w:rPr>
            </w:pPr>
            <w:r w:rsidRPr="000A0949">
              <w:rPr>
                <w:sz w:val="22"/>
                <w:szCs w:val="22"/>
              </w:rPr>
              <w:t>Срок действия неисключительных прав – бессрочно.</w:t>
            </w:r>
          </w:p>
        </w:tc>
        <w:tc>
          <w:tcPr>
            <w:tcW w:w="992" w:type="dxa"/>
            <w:tcBorders>
              <w:top w:val="single" w:sz="4" w:space="0" w:color="auto"/>
              <w:left w:val="single" w:sz="4" w:space="0" w:color="auto"/>
              <w:bottom w:val="single" w:sz="4" w:space="0" w:color="auto"/>
              <w:right w:val="single" w:sz="4" w:space="0" w:color="auto"/>
            </w:tcBorders>
          </w:tcPr>
          <w:p w:rsidR="000A0949" w:rsidRPr="000A0949" w:rsidRDefault="00DA0E42" w:rsidP="000A0949">
            <w:pPr>
              <w:jc w:val="center"/>
              <w:rPr>
                <w:rFonts w:ascii="PT Astra Serif" w:hAnsi="PT Astra Serif"/>
                <w:bCs/>
                <w:sz w:val="22"/>
                <w:szCs w:val="22"/>
              </w:rPr>
            </w:pPr>
            <w:r>
              <w:rPr>
                <w:rFonts w:ascii="PT Astra Serif" w:hAnsi="PT Astra Serif"/>
                <w:bCs/>
                <w:sz w:val="22"/>
                <w:szCs w:val="22"/>
              </w:rPr>
              <w:t>7</w:t>
            </w:r>
          </w:p>
        </w:tc>
      </w:tr>
    </w:tbl>
    <w:p w:rsidR="000A0949" w:rsidRPr="000A0949" w:rsidRDefault="000A0949" w:rsidP="000A0949">
      <w:pPr>
        <w:widowControl w:val="0"/>
        <w:tabs>
          <w:tab w:val="left" w:pos="709"/>
        </w:tabs>
        <w:suppressAutoHyphens/>
        <w:jc w:val="both"/>
        <w:rPr>
          <w:rFonts w:ascii="PT Astra Serif" w:hAnsi="PT Astra Serif"/>
          <w:color w:val="00000A"/>
          <w:sz w:val="18"/>
        </w:rPr>
      </w:pPr>
      <w:r w:rsidRPr="000A0949">
        <w:rPr>
          <w:rFonts w:ascii="PT Astra Serif" w:hAnsi="PT Astra Serif"/>
          <w:color w:val="00000A"/>
          <w:sz w:val="18"/>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0A0949" w:rsidRPr="000A0949" w:rsidRDefault="000A0949" w:rsidP="000A0949">
      <w:pPr>
        <w:widowControl w:val="0"/>
        <w:tabs>
          <w:tab w:val="left" w:pos="709"/>
        </w:tabs>
        <w:suppressAutoHyphens/>
        <w:rPr>
          <w:rFonts w:ascii="PT Astra Serif" w:hAnsi="PT Astra Serif"/>
          <w:color w:val="00000A"/>
          <w:sz w:val="24"/>
        </w:rPr>
      </w:pPr>
    </w:p>
    <w:p w:rsidR="000A0949" w:rsidRPr="000A0949" w:rsidRDefault="000A0949" w:rsidP="000A0949">
      <w:pPr>
        <w:ind w:firstLine="567"/>
        <w:contextualSpacing/>
        <w:jc w:val="both"/>
        <w:rPr>
          <w:rFonts w:ascii="PT Astra Serif" w:hAnsi="PT Astra Serif"/>
          <w:b/>
          <w:sz w:val="24"/>
          <w:szCs w:val="24"/>
        </w:rPr>
      </w:pPr>
      <w:r w:rsidRPr="000A0949">
        <w:rPr>
          <w:rFonts w:ascii="PT Astra Serif" w:hAnsi="PT Astra Serif"/>
          <w:b/>
          <w:sz w:val="24"/>
          <w:szCs w:val="24"/>
        </w:rPr>
        <w:t>3. При передаче неисключительных прав на использование программного обеспечения Исполнитель обеспечивает базовую поддержку:</w:t>
      </w:r>
    </w:p>
    <w:p w:rsidR="000A0949" w:rsidRPr="000A0949" w:rsidRDefault="000A0949" w:rsidP="000A0949">
      <w:pPr>
        <w:ind w:firstLine="567"/>
        <w:contextualSpacing/>
        <w:jc w:val="both"/>
        <w:rPr>
          <w:rFonts w:ascii="PT Astra Serif" w:hAnsi="PT Astra Serif"/>
          <w:sz w:val="24"/>
          <w:szCs w:val="24"/>
        </w:rPr>
      </w:pPr>
      <w:r w:rsidRPr="000A0949">
        <w:rPr>
          <w:rFonts w:ascii="PT Astra Serif" w:hAnsi="PT Astra Serif"/>
          <w:sz w:val="24"/>
          <w:szCs w:val="24"/>
        </w:rPr>
        <w:t>а) консультации и ответы на вопросы по электронной почте;</w:t>
      </w:r>
    </w:p>
    <w:p w:rsidR="000A0949" w:rsidRPr="000A0949" w:rsidRDefault="000A0949" w:rsidP="000A0949">
      <w:pPr>
        <w:ind w:firstLine="567"/>
        <w:contextualSpacing/>
        <w:jc w:val="both"/>
        <w:rPr>
          <w:rFonts w:ascii="PT Astra Serif" w:hAnsi="PT Astra Serif"/>
          <w:sz w:val="24"/>
          <w:szCs w:val="24"/>
        </w:rPr>
      </w:pPr>
      <w:r w:rsidRPr="000A0949">
        <w:rPr>
          <w:rFonts w:ascii="PT Astra Serif" w:hAnsi="PT Astra Serif"/>
          <w:sz w:val="24"/>
          <w:szCs w:val="24"/>
        </w:rPr>
        <w:t>б) передача обновлений, устраняющих выявленные дефекты программного обеспечения.</w:t>
      </w:r>
    </w:p>
    <w:p w:rsidR="000A0949" w:rsidRPr="000A0949" w:rsidRDefault="000A0949" w:rsidP="000A0949">
      <w:pPr>
        <w:widowControl w:val="0"/>
        <w:tabs>
          <w:tab w:val="left" w:pos="709"/>
        </w:tabs>
        <w:suppressAutoHyphens/>
        <w:ind w:firstLine="709"/>
        <w:jc w:val="both"/>
        <w:rPr>
          <w:rFonts w:ascii="PT Astra Serif" w:hAnsi="PT Astra Serif"/>
          <w:color w:val="00000A"/>
          <w:sz w:val="24"/>
        </w:rPr>
      </w:pPr>
    </w:p>
    <w:p w:rsidR="000A0949" w:rsidRPr="000A0949" w:rsidRDefault="000A0949" w:rsidP="000A0949">
      <w:pPr>
        <w:widowControl w:val="0"/>
        <w:tabs>
          <w:tab w:val="left" w:pos="709"/>
        </w:tabs>
        <w:suppressAutoHyphens/>
        <w:ind w:firstLine="709"/>
        <w:jc w:val="both"/>
        <w:rPr>
          <w:rFonts w:ascii="PT Astra Serif" w:hAnsi="PT Astra Serif"/>
          <w:b/>
          <w:color w:val="00000A"/>
          <w:sz w:val="24"/>
        </w:rPr>
      </w:pPr>
      <w:r w:rsidRPr="000A0949">
        <w:rPr>
          <w:rFonts w:ascii="PT Astra Serif" w:hAnsi="PT Astra Serif"/>
          <w:b/>
          <w:color w:val="00000A"/>
          <w:sz w:val="24"/>
        </w:rPr>
        <w:t>4. Требования к Исполнителю</w:t>
      </w:r>
    </w:p>
    <w:p w:rsidR="000A0949" w:rsidRPr="000A0949" w:rsidRDefault="000A0949" w:rsidP="000A0949">
      <w:pPr>
        <w:widowControl w:val="0"/>
        <w:tabs>
          <w:tab w:val="left" w:pos="709"/>
        </w:tabs>
        <w:suppressAutoHyphens/>
        <w:ind w:firstLine="709"/>
        <w:jc w:val="both"/>
        <w:rPr>
          <w:rFonts w:ascii="PT Astra Serif" w:hAnsi="PT Astra Serif"/>
          <w:color w:val="00000A"/>
          <w:sz w:val="24"/>
        </w:rPr>
      </w:pPr>
      <w:r w:rsidRPr="000A0949">
        <w:rPr>
          <w:rFonts w:ascii="PT Astra Serif" w:hAnsi="PT Astra Serif"/>
          <w:color w:val="00000A"/>
          <w:sz w:val="24"/>
        </w:rPr>
        <w:t>4.1. Исполнитель, для подтверждения права оказывать услуги в соответствии с настоящим техническим заданием, должен предоставить следующие разрешительные документы:</w:t>
      </w:r>
      <w:r>
        <w:rPr>
          <w:rFonts w:ascii="PT Astra Serif" w:hAnsi="PT Astra Serif"/>
          <w:color w:val="00000A"/>
          <w:sz w:val="24"/>
        </w:rPr>
        <w:t xml:space="preserve"> </w:t>
      </w:r>
      <w:r w:rsidRPr="000A0949">
        <w:rPr>
          <w:rFonts w:ascii="PT Astra Serif" w:hAnsi="PT Astra Serif"/>
          <w:color w:val="00000A"/>
          <w:sz w:val="24"/>
        </w:rPr>
        <w:t>копия лицензии или копия выписки из реестра лицензий Федеральной службы безопасности Российской Федерации на следующие виды выполняемых работ и оказываемых услуг, составляющих лицензируемую деятельность:</w:t>
      </w:r>
    </w:p>
    <w:p w:rsidR="000A0949" w:rsidRPr="000A0949" w:rsidRDefault="000A0949" w:rsidP="000A0949">
      <w:pPr>
        <w:widowControl w:val="0"/>
        <w:tabs>
          <w:tab w:val="left" w:pos="709"/>
        </w:tabs>
        <w:suppressAutoHyphens/>
        <w:ind w:firstLine="709"/>
        <w:jc w:val="both"/>
        <w:rPr>
          <w:rFonts w:ascii="PT Astra Serif" w:hAnsi="PT Astra Serif"/>
          <w:color w:val="00000A"/>
          <w:sz w:val="24"/>
        </w:rPr>
      </w:pPr>
      <w:r w:rsidRPr="000A0949">
        <w:rPr>
          <w:rFonts w:ascii="PT Astra Serif" w:hAnsi="PT Astra Serif"/>
          <w:color w:val="00000A"/>
          <w:sz w:val="24"/>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 Приложение 1).</w:t>
      </w:r>
    </w:p>
    <w:p w:rsidR="000A0949" w:rsidRPr="000A0949" w:rsidRDefault="000A0949" w:rsidP="000A0949">
      <w:pPr>
        <w:widowControl w:val="0"/>
        <w:tabs>
          <w:tab w:val="left" w:pos="709"/>
        </w:tabs>
        <w:suppressAutoHyphens/>
        <w:ind w:firstLine="709"/>
        <w:jc w:val="both"/>
        <w:rPr>
          <w:rFonts w:ascii="PT Astra Serif" w:hAnsi="PT Astra Serif"/>
          <w:color w:val="00000A"/>
          <w:sz w:val="24"/>
        </w:rPr>
      </w:pPr>
      <w:r w:rsidRPr="000A0949">
        <w:rPr>
          <w:rFonts w:ascii="PT Astra Serif" w:hAnsi="PT Astra Serif"/>
          <w:color w:val="00000A"/>
          <w:sz w:val="24"/>
        </w:rPr>
        <w:lastRenderedPageBreak/>
        <w:t>Установлено в соответствии с Федер</w:t>
      </w:r>
      <w:bookmarkStart w:id="2" w:name="_GoBack"/>
      <w:bookmarkEnd w:id="2"/>
      <w:r w:rsidRPr="000A0949">
        <w:rPr>
          <w:rFonts w:ascii="PT Astra Serif" w:hAnsi="PT Astra Serif"/>
          <w:color w:val="00000A"/>
          <w:sz w:val="24"/>
        </w:rPr>
        <w:t>альным законом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F6C" w:rsidRDefault="00B52F6C">
      <w:r>
        <w:separator/>
      </w:r>
    </w:p>
  </w:endnote>
  <w:endnote w:type="continuationSeparator" w:id="0">
    <w:p w:rsidR="00B52F6C" w:rsidRDefault="00B5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D5354D">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D5354D">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F6C" w:rsidRDefault="00B52F6C">
      <w:r>
        <w:separator/>
      </w:r>
    </w:p>
  </w:footnote>
  <w:footnote w:type="continuationSeparator" w:id="0">
    <w:p w:rsidR="00B52F6C" w:rsidRDefault="00B52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98D4-6446-49FA-B87E-560EEB6D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69</cp:revision>
  <cp:lastPrinted>2022-04-06T05:34:00Z</cp:lastPrinted>
  <dcterms:created xsi:type="dcterms:W3CDTF">2020-01-31T05:12:00Z</dcterms:created>
  <dcterms:modified xsi:type="dcterms:W3CDTF">2022-04-06T05:34:00Z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