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9C1B0A" w:rsidRPr="009C1B0A">
        <w:rPr>
          <w:rFonts w:ascii="Times New Roman" w:eastAsia="Times New Roman" w:hAnsi="Times New Roman" w:cs="Times New Roman"/>
          <w:sz w:val="24"/>
          <w:szCs w:val="24"/>
          <w:lang w:eastAsia="ru-RU"/>
        </w:rPr>
        <w:t>203862200236886220100100050012660244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356E26" w:rsidRPr="00356E26">
        <w:rPr>
          <w:rFonts w:ascii="Times New Roman" w:eastAsia="Times New Roman" w:hAnsi="Times New Roman" w:cs="Times New Roman"/>
          <w:sz w:val="24"/>
          <w:szCs w:val="24"/>
          <w:lang w:eastAsia="ru-RU"/>
        </w:rPr>
        <w:t>бактерицидны</w:t>
      </w:r>
      <w:r w:rsidR="00356E26">
        <w:rPr>
          <w:rFonts w:ascii="Times New Roman" w:eastAsia="Times New Roman" w:hAnsi="Times New Roman" w:cs="Times New Roman"/>
          <w:sz w:val="24"/>
          <w:szCs w:val="24"/>
          <w:lang w:eastAsia="ru-RU"/>
        </w:rPr>
        <w:t>е</w:t>
      </w:r>
      <w:r w:rsidR="00356E26" w:rsidRPr="00356E26">
        <w:rPr>
          <w:rFonts w:ascii="Times New Roman" w:eastAsia="Times New Roman" w:hAnsi="Times New Roman" w:cs="Times New Roman"/>
          <w:sz w:val="24"/>
          <w:szCs w:val="24"/>
          <w:lang w:eastAsia="ru-RU"/>
        </w:rPr>
        <w:t xml:space="preserve"> облучател</w:t>
      </w:r>
      <w:r w:rsidR="00356E26">
        <w:rPr>
          <w:rFonts w:ascii="Times New Roman" w:eastAsia="Times New Roman" w:hAnsi="Times New Roman" w:cs="Times New Roman"/>
          <w:sz w:val="24"/>
          <w:szCs w:val="24"/>
          <w:lang w:eastAsia="ru-RU"/>
        </w:rPr>
        <w:t xml:space="preserve">и </w:t>
      </w:r>
      <w:r w:rsidR="00356E26" w:rsidRPr="00356E26">
        <w:rPr>
          <w:rFonts w:ascii="Times New Roman" w:eastAsia="Times New Roman" w:hAnsi="Times New Roman" w:cs="Times New Roman"/>
          <w:sz w:val="24"/>
          <w:szCs w:val="24"/>
          <w:lang w:eastAsia="ru-RU"/>
        </w:rPr>
        <w:t>-</w:t>
      </w:r>
      <w:r w:rsidR="00356E26">
        <w:rPr>
          <w:rFonts w:ascii="Times New Roman" w:eastAsia="Times New Roman" w:hAnsi="Times New Roman" w:cs="Times New Roman"/>
          <w:sz w:val="24"/>
          <w:szCs w:val="24"/>
          <w:lang w:eastAsia="ru-RU"/>
        </w:rPr>
        <w:t xml:space="preserve"> </w:t>
      </w:r>
      <w:proofErr w:type="spellStart"/>
      <w:r w:rsidR="00356E26" w:rsidRPr="00356E26">
        <w:rPr>
          <w:rFonts w:ascii="Times New Roman" w:eastAsia="Times New Roman" w:hAnsi="Times New Roman" w:cs="Times New Roman"/>
          <w:sz w:val="24"/>
          <w:szCs w:val="24"/>
          <w:lang w:eastAsia="ru-RU"/>
        </w:rPr>
        <w:t>рециркулятор</w:t>
      </w:r>
      <w:r w:rsidR="00356E26">
        <w:rPr>
          <w:rFonts w:ascii="Times New Roman" w:eastAsia="Times New Roman" w:hAnsi="Times New Roman" w:cs="Times New Roman"/>
          <w:sz w:val="24"/>
          <w:szCs w:val="24"/>
          <w:lang w:eastAsia="ru-RU"/>
        </w:rPr>
        <w:t>ы</w:t>
      </w:r>
      <w:proofErr w:type="spellEnd"/>
      <w:r w:rsidR="00356E26" w:rsidRPr="00356E26">
        <w:rPr>
          <w:rFonts w:ascii="Times New Roman" w:eastAsia="Times New Roman" w:hAnsi="Times New Roman" w:cs="Times New Roman"/>
          <w:sz w:val="24"/>
          <w:szCs w:val="24"/>
          <w:lang w:eastAsia="ru-RU"/>
        </w:rPr>
        <w:t xml:space="preserve"> передвижны</w:t>
      </w:r>
      <w:r w:rsidR="00356E26">
        <w:rPr>
          <w:rFonts w:ascii="Times New Roman" w:eastAsia="Times New Roman" w:hAnsi="Times New Roman" w:cs="Times New Roman"/>
          <w:sz w:val="24"/>
          <w:szCs w:val="24"/>
          <w:lang w:eastAsia="ru-RU"/>
        </w:rPr>
        <w:t>е</w:t>
      </w:r>
      <w:r w:rsidRPr="001F31D0">
        <w:rPr>
          <w:rFonts w:ascii="Times New Roman" w:eastAsia="Times New Roman" w:hAnsi="Times New Roman" w:cs="Times New Roman"/>
          <w:sz w:val="24"/>
          <w:szCs w:val="24"/>
          <w:lang w:eastAsia="ru-RU"/>
        </w:rPr>
        <w:t xml:space="preserve"> (далее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F31D0">
        <w:rPr>
          <w:rFonts w:ascii="Times New Roman" w:eastAsia="Times New Roman" w:hAnsi="Times New Roman" w:cs="Times New Roman"/>
          <w:sz w:val="24"/>
          <w:szCs w:val="24"/>
          <w:lang w:eastAsia="ru-RU"/>
        </w:rPr>
        <w:t xml:space="preserve">1.5. Место поставки товара: </w:t>
      </w:r>
      <w:r w:rsidRPr="001F31D0">
        <w:rPr>
          <w:rFonts w:ascii="Times New Roman" w:eastAsia="Times New Roman" w:hAnsi="Times New Roman" w:cs="Times New Roman"/>
          <w:sz w:val="24"/>
          <w:szCs w:val="24"/>
          <w:u w:val="single"/>
          <w:lang w:eastAsia="ru-RU"/>
        </w:rPr>
        <w:t xml:space="preserve">628260, Ханты-Мансийский автономный округ – Югра, </w:t>
      </w:r>
    </w:p>
    <w:p w:rsidR="001F31D0" w:rsidRPr="001F31D0" w:rsidRDefault="001F31D0" w:rsidP="001F31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 xml:space="preserve">г. </w:t>
      </w:r>
      <w:proofErr w:type="spellStart"/>
      <w:r w:rsidRPr="001F31D0">
        <w:rPr>
          <w:rFonts w:ascii="Times New Roman" w:eastAsia="Times New Roman" w:hAnsi="Times New Roman" w:cs="Times New Roman"/>
          <w:sz w:val="24"/>
          <w:szCs w:val="24"/>
          <w:u w:val="single"/>
          <w:lang w:eastAsia="ru-RU"/>
        </w:rPr>
        <w:t>Югорск</w:t>
      </w:r>
      <w:proofErr w:type="spellEnd"/>
      <w:r w:rsidRPr="001F31D0">
        <w:rPr>
          <w:rFonts w:ascii="Times New Roman" w:eastAsia="Times New Roman" w:hAnsi="Times New Roman" w:cs="Times New Roman"/>
          <w:sz w:val="24"/>
          <w:szCs w:val="24"/>
          <w:u w:val="single"/>
          <w:lang w:eastAsia="ru-RU"/>
        </w:rPr>
        <w:t>, ул.40 лет Победы, д. 11</w:t>
      </w:r>
      <w:r w:rsidR="00356E26">
        <w:rPr>
          <w:rFonts w:ascii="Times New Roman" w:eastAsia="Times New Roman" w:hAnsi="Times New Roman" w:cs="Times New Roman"/>
          <w:sz w:val="24"/>
          <w:szCs w:val="24"/>
          <w:u w:val="single"/>
          <w:lang w:eastAsia="ru-RU"/>
        </w:rPr>
        <w:t xml:space="preserve">, </w:t>
      </w:r>
      <w:proofErr w:type="spellStart"/>
      <w:r w:rsidR="00356E26">
        <w:rPr>
          <w:rFonts w:ascii="Times New Roman" w:eastAsia="Times New Roman" w:hAnsi="Times New Roman" w:cs="Times New Roman"/>
          <w:sz w:val="24"/>
          <w:szCs w:val="24"/>
          <w:u w:val="single"/>
          <w:lang w:eastAsia="ru-RU"/>
        </w:rPr>
        <w:t>каб</w:t>
      </w:r>
      <w:proofErr w:type="spellEnd"/>
      <w:r w:rsidR="00356E26">
        <w:rPr>
          <w:rFonts w:ascii="Times New Roman" w:eastAsia="Times New Roman" w:hAnsi="Times New Roman" w:cs="Times New Roman"/>
          <w:sz w:val="24"/>
          <w:szCs w:val="24"/>
          <w:u w:val="single"/>
          <w:lang w:eastAsia="ru-RU"/>
        </w:rPr>
        <w:t>. 319</w:t>
      </w:r>
      <w:r w:rsidRPr="001F31D0">
        <w:rPr>
          <w:rFonts w:ascii="Times New Roman" w:eastAsia="Times New Roman" w:hAnsi="Times New Roman" w:cs="Times New Roman"/>
          <w:sz w:val="24"/>
          <w:szCs w:val="24"/>
          <w:u w:val="single"/>
          <w:lang w:eastAsia="ru-RU"/>
        </w:rPr>
        <w:t>.</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 (</w:t>
      </w:r>
      <w:r w:rsidR="004C73AF" w:rsidRPr="004C73AF">
        <w:rPr>
          <w:rFonts w:ascii="Times New Roman" w:eastAsia="Times New Roman" w:hAnsi="Times New Roman" w:cs="Times New Roman"/>
          <w:sz w:val="24"/>
          <w:szCs w:val="24"/>
          <w:lang w:eastAsia="ru-RU"/>
        </w:rPr>
        <w:t>Подпрограмма "Улучшение условий и охраны труда"</w:t>
      </w:r>
      <w:r w:rsidR="003064E0" w:rsidRPr="003064E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2.2. </w:t>
      </w:r>
      <w:proofErr w:type="gramStart"/>
      <w:r w:rsidRPr="001F31D0">
        <w:rPr>
          <w:rFonts w:ascii="Times New Roman" w:eastAsia="Times New Roman" w:hAnsi="Times New Roman" w:cs="Times New Roman"/>
          <w:sz w:val="24"/>
          <w:szCs w:val="24"/>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рабочих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(часть товаров)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294164">
        <w:rPr>
          <w:rFonts w:ascii="Times New Roman" w:eastAsia="Times New Roman" w:hAnsi="Times New Roman" w:cs="Times New Roman"/>
          <w:sz w:val="24"/>
          <w:szCs w:val="24"/>
          <w:lang w:eastAsia="ru-RU"/>
        </w:rPr>
        <w:t>17</w:t>
      </w:r>
      <w:r w:rsidR="000C397A">
        <w:rPr>
          <w:rFonts w:ascii="Times New Roman" w:eastAsia="Times New Roman" w:hAnsi="Times New Roman" w:cs="Times New Roman"/>
          <w:sz w:val="24"/>
          <w:szCs w:val="24"/>
          <w:lang w:eastAsia="ru-RU"/>
        </w:rPr>
        <w:t>.04.2020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 xml:space="preserve">документа о приемке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C03EF4" w:rsidRPr="00C03EF4">
        <w:rPr>
          <w:rFonts w:ascii="Times New Roman" w:eastAsia="Times New Roman" w:hAnsi="Times New Roman" w:cs="Times New Roman"/>
          <w:sz w:val="24"/>
          <w:szCs w:val="24"/>
          <w:u w:val="single"/>
          <w:lang w:val="en-US" w:eastAsia="ru-RU"/>
        </w:rPr>
        <w:t>Filippova</w:t>
      </w:r>
      <w:proofErr w:type="spellEnd"/>
      <w:r w:rsidR="00C03EF4" w:rsidRPr="00C03EF4">
        <w:rPr>
          <w:rFonts w:ascii="Times New Roman" w:eastAsia="Times New Roman" w:hAnsi="Times New Roman" w:cs="Times New Roman"/>
          <w:sz w:val="24"/>
          <w:szCs w:val="24"/>
          <w:u w:val="single"/>
          <w:lang w:eastAsia="ru-RU"/>
        </w:rPr>
        <w:t>_</w:t>
      </w:r>
      <w:r w:rsidR="00C03EF4" w:rsidRPr="00C03EF4">
        <w:rPr>
          <w:rFonts w:ascii="Times New Roman" w:eastAsia="Times New Roman" w:hAnsi="Times New Roman" w:cs="Times New Roman"/>
          <w:sz w:val="24"/>
          <w:szCs w:val="24"/>
          <w:u w:val="single"/>
          <w:lang w:val="en-US" w:eastAsia="ru-RU"/>
        </w:rPr>
        <w:t>mg</w:t>
      </w:r>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294164">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 xml:space="preserve">документ о приемке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w:t>
      </w:r>
      <w:r w:rsidRPr="001F31D0">
        <w:rPr>
          <w:rFonts w:ascii="Times New Roman" w:eastAsia="Times New Roman" w:hAnsi="Times New Roman" w:cs="Times New Roman"/>
          <w:color w:val="CC00CC"/>
          <w:sz w:val="24"/>
          <w:szCs w:val="24"/>
          <w:lang w:eastAsia="ru-RU"/>
        </w:rPr>
        <w:lastRenderedPageBreak/>
        <w:t>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lastRenderedPageBreak/>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proofErr w:type="spellStart"/>
      <w:r w:rsidRPr="001F31D0">
        <w:rPr>
          <w:rFonts w:ascii="Times New Roman" w:eastAsia="Times New Roman" w:hAnsi="Times New Roman" w:cs="Times New Roman"/>
          <w:kern w:val="16"/>
          <w:sz w:val="24"/>
          <w:szCs w:val="24"/>
          <w:lang w:eastAsia="ru-RU"/>
        </w:rPr>
        <w:t>существляется</w:t>
      </w:r>
      <w:proofErr w:type="spellEnd"/>
      <w:r w:rsidRPr="001F31D0">
        <w:rPr>
          <w:rFonts w:ascii="Times New Roman" w:eastAsia="Times New Roman" w:hAnsi="Times New Roman" w:cs="Times New Roman"/>
          <w:kern w:val="16"/>
          <w:sz w:val="24"/>
          <w:szCs w:val="24"/>
          <w:lang w:eastAsia="ru-RU"/>
        </w:rPr>
        <w:t xml:space="preserve">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5.5.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5.6.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975C44">
        <w:rPr>
          <w:rFonts w:ascii="Times New Roman" w:eastAsia="Times New Roman" w:hAnsi="Times New Roman" w:cs="Times New Roman"/>
          <w:sz w:val="24"/>
          <w:szCs w:val="24"/>
          <w:lang w:eastAsia="ru-RU"/>
        </w:rPr>
        <w:lastRenderedPageBreak/>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BF290C" w:rsidRDefault="00E0630F" w:rsidP="00E0630F">
      <w:pPr>
        <w:pStyle w:val="1"/>
        <w:spacing w:after="0" w:line="240" w:lineRule="auto"/>
        <w:ind w:firstLine="709"/>
        <w:jc w:val="both"/>
        <w:rPr>
          <w:rFonts w:ascii="PT Astra Serif" w:hAnsi="PT Astra Serif"/>
        </w:rPr>
      </w:pPr>
      <w:r w:rsidRPr="00173F28">
        <w:rPr>
          <w:rFonts w:ascii="PT Astra Serif" w:hAnsi="PT Astra Serif"/>
          <w:color w:val="auto"/>
          <w:kern w:val="2"/>
        </w:rPr>
        <w:t>Обеспечение исполнения гарантийных обязатель</w:t>
      </w:r>
      <w:proofErr w:type="gramStart"/>
      <w:r w:rsidRPr="00173F28">
        <w:rPr>
          <w:rFonts w:ascii="PT Astra Serif" w:hAnsi="PT Astra Serif"/>
          <w:color w:val="auto"/>
          <w:kern w:val="2"/>
        </w:rPr>
        <w:t>ств пр</w:t>
      </w:r>
      <w:proofErr w:type="gramEnd"/>
      <w:r w:rsidRPr="00173F28">
        <w:rPr>
          <w:rFonts w:ascii="PT Astra Serif" w:hAnsi="PT Astra Serif"/>
          <w:color w:val="auto"/>
          <w:kern w:val="2"/>
        </w:rPr>
        <w:t>едоставляется Заказчику до оформления документа о приёмке (за исключением отдельного этапа исполнения контракта).</w:t>
      </w:r>
      <w:r>
        <w:rPr>
          <w:rFonts w:ascii="PT Astra Serif" w:hAnsi="PT Astra Serif"/>
          <w:color w:val="auto"/>
          <w:kern w:val="2"/>
        </w:rPr>
        <w:t xml:space="preserve"> </w:t>
      </w:r>
      <w:r w:rsidRPr="00A270F2">
        <w:rPr>
          <w:rFonts w:ascii="PT Astra Serif" w:hAnsi="PT Astra Serif"/>
        </w:rPr>
        <w:t xml:space="preserve">Размер обеспечения гарантийных обязательств </w:t>
      </w:r>
      <w:r w:rsidRPr="00A270F2">
        <w:rPr>
          <w:rFonts w:ascii="PT Astra Serif" w:hAnsi="PT Astra Serif"/>
          <w:color w:val="000099"/>
        </w:rPr>
        <w:t xml:space="preserve">составляет </w:t>
      </w:r>
      <w:r w:rsidR="00D402BB">
        <w:rPr>
          <w:rFonts w:ascii="PT Astra Serif" w:hAnsi="PT Astra Serif"/>
          <w:color w:val="000099"/>
        </w:rPr>
        <w:t>8 958</w:t>
      </w:r>
      <w:r w:rsidRPr="00A270F2">
        <w:rPr>
          <w:rFonts w:ascii="PT Astra Serif" w:hAnsi="PT Astra Serif"/>
          <w:color w:val="000099"/>
        </w:rPr>
        <w:t xml:space="preserve"> (</w:t>
      </w:r>
      <w:r w:rsidR="00D402BB">
        <w:rPr>
          <w:rFonts w:ascii="PT Astra Serif" w:hAnsi="PT Astra Serif"/>
          <w:color w:val="000099"/>
        </w:rPr>
        <w:t>восемь</w:t>
      </w:r>
      <w:r w:rsidRPr="00A270F2">
        <w:rPr>
          <w:rFonts w:ascii="PT Astra Serif" w:hAnsi="PT Astra Serif"/>
          <w:color w:val="000099"/>
        </w:rPr>
        <w:t xml:space="preserve"> тысяч</w:t>
      </w:r>
      <w:r>
        <w:rPr>
          <w:rFonts w:ascii="PT Astra Serif" w:hAnsi="PT Astra Serif"/>
          <w:color w:val="000099"/>
        </w:rPr>
        <w:t xml:space="preserve"> </w:t>
      </w:r>
      <w:r w:rsidR="00D402BB">
        <w:rPr>
          <w:rFonts w:ascii="PT Astra Serif" w:hAnsi="PT Astra Serif"/>
          <w:color w:val="000099"/>
        </w:rPr>
        <w:t>д</w:t>
      </w:r>
      <w:r>
        <w:rPr>
          <w:rFonts w:ascii="PT Astra Serif" w:hAnsi="PT Astra Serif"/>
          <w:color w:val="000099"/>
        </w:rPr>
        <w:t>евятьсот</w:t>
      </w:r>
      <w:r w:rsidR="00D402BB">
        <w:rPr>
          <w:rFonts w:ascii="PT Astra Serif" w:hAnsi="PT Astra Serif"/>
          <w:color w:val="000099"/>
        </w:rPr>
        <w:t xml:space="preserve"> пятьдесят</w:t>
      </w:r>
      <w:r>
        <w:rPr>
          <w:rFonts w:ascii="PT Astra Serif" w:hAnsi="PT Astra Serif"/>
          <w:color w:val="000099"/>
        </w:rPr>
        <w:t xml:space="preserve"> восемь</w:t>
      </w:r>
      <w:r w:rsidRPr="00A270F2">
        <w:rPr>
          <w:rFonts w:ascii="PT Astra Serif" w:hAnsi="PT Astra Serif"/>
          <w:color w:val="000099"/>
        </w:rPr>
        <w:t>) рубл</w:t>
      </w:r>
      <w:r>
        <w:rPr>
          <w:rFonts w:ascii="PT Astra Serif" w:hAnsi="PT Astra Serif"/>
          <w:color w:val="000099"/>
        </w:rPr>
        <w:t>ей</w:t>
      </w:r>
      <w:r w:rsidRPr="00A270F2">
        <w:rPr>
          <w:rFonts w:ascii="PT Astra Serif" w:hAnsi="PT Astra Serif"/>
          <w:color w:val="000099"/>
        </w:rPr>
        <w:t xml:space="preserve"> </w:t>
      </w:r>
      <w:r w:rsidR="00D402BB">
        <w:rPr>
          <w:rFonts w:ascii="PT Astra Serif" w:hAnsi="PT Astra Serif"/>
          <w:color w:val="000099"/>
        </w:rPr>
        <w:t>4</w:t>
      </w:r>
      <w:r w:rsidRPr="00A270F2">
        <w:rPr>
          <w:rFonts w:ascii="PT Astra Serif" w:hAnsi="PT Astra Serif"/>
          <w:color w:val="000099"/>
        </w:rPr>
        <w:t>0 копеек (10 процентов</w:t>
      </w:r>
      <w:r w:rsidRPr="00A270F2">
        <w:rPr>
          <w:rFonts w:ascii="PT Astra Serif" w:hAnsi="PT Astra Serif"/>
        </w:rPr>
        <w:t xml:space="preserve"> от начальной (</w:t>
      </w:r>
      <w:proofErr w:type="gramStart"/>
      <w:r w:rsidRPr="00A270F2">
        <w:rPr>
          <w:rFonts w:ascii="PT Astra Serif" w:hAnsi="PT Astra Serif"/>
        </w:rPr>
        <w:t xml:space="preserve">максимальной) </w:t>
      </w:r>
      <w:proofErr w:type="gramEnd"/>
      <w:r w:rsidRPr="00A270F2">
        <w:rPr>
          <w:rFonts w:ascii="PT Astra Serif" w:hAnsi="PT Astra Serif"/>
        </w:rPr>
        <w:t>цены контракта)</w:t>
      </w:r>
      <w:r>
        <w:rPr>
          <w:rStyle w:val="a5"/>
          <w:rFonts w:ascii="PT Astra Serif" w:hAnsi="PT Astra Serif"/>
        </w:rPr>
        <w:footnoteReference w:id="1"/>
      </w:r>
      <w:r w:rsidRPr="00A270F2">
        <w:rPr>
          <w:rFonts w:ascii="PT Astra Serif" w:hAnsi="PT Astra Serif"/>
        </w:rPr>
        <w:t xml:space="preserve"> (не может превышать десять процентов начальной (максимальной) цены контракта).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6.3. </w:t>
      </w:r>
      <w:proofErr w:type="gramStart"/>
      <w:r w:rsidRPr="00975C44">
        <w:rPr>
          <w:rFonts w:ascii="Times New Roman" w:eastAsia="Times New Roman" w:hAnsi="Times New Roman" w:cs="Times New Roman"/>
          <w:sz w:val="24"/>
          <w:szCs w:val="24"/>
          <w:lang w:eastAsia="ru-RU"/>
        </w:rPr>
        <w:t xml:space="preserve">В ходе исполнения контракта </w:t>
      </w:r>
      <w:r w:rsidR="00D402BB">
        <w:rPr>
          <w:rFonts w:ascii="Times New Roman" w:eastAsia="Times New Roman" w:hAnsi="Times New Roman" w:cs="Times New Roman"/>
          <w:sz w:val="24"/>
          <w:szCs w:val="24"/>
          <w:lang w:eastAsia="ru-RU"/>
        </w:rPr>
        <w:t>Поставщик</w:t>
      </w:r>
      <w:r w:rsidRPr="00975C44">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75C44">
        <w:rPr>
          <w:rFonts w:ascii="Times New Roman" w:eastAsia="Times New Roman" w:hAnsi="Times New Roman" w:cs="Times New Roman"/>
          <w:sz w:val="24"/>
          <w:szCs w:val="24"/>
          <w:lang w:eastAsia="ru-RU"/>
        </w:rPr>
        <w:t xml:space="preserve"> муниципальных нужд».  </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6.4. </w:t>
      </w:r>
      <w:proofErr w:type="gramStart"/>
      <w:r w:rsidRPr="00975C44">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Pr>
          <w:rFonts w:ascii="Times New Roman" w:eastAsia="Times New Roman" w:hAnsi="Times New Roman" w:cs="Times New Roman"/>
          <w:sz w:val="24"/>
          <w:szCs w:val="24"/>
          <w:lang w:eastAsia="ru-RU"/>
        </w:rPr>
        <w:t>Поставщик</w:t>
      </w:r>
      <w:r w:rsidRPr="00975C44">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Pr>
          <w:rFonts w:ascii="Times New Roman" w:eastAsia="Times New Roman" w:hAnsi="Times New Roman" w:cs="Times New Roman"/>
          <w:sz w:val="24"/>
          <w:szCs w:val="24"/>
          <w:lang w:eastAsia="ru-RU"/>
        </w:rPr>
        <w:t>Поставщика</w:t>
      </w:r>
      <w:r w:rsidRPr="00975C44">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Pr>
          <w:rFonts w:ascii="Times New Roman" w:eastAsia="Times New Roman" w:hAnsi="Times New Roman" w:cs="Times New Roman"/>
          <w:sz w:val="24"/>
          <w:szCs w:val="24"/>
          <w:lang w:eastAsia="ru-RU"/>
        </w:rPr>
        <w:t>Поставщика</w:t>
      </w:r>
      <w:r w:rsidRPr="00975C44">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Pr>
          <w:rFonts w:ascii="Times New Roman" w:eastAsia="Times New Roman" w:hAnsi="Times New Roman" w:cs="Times New Roman"/>
          <w:sz w:val="24"/>
          <w:szCs w:val="24"/>
          <w:lang w:eastAsia="ru-RU"/>
        </w:rPr>
        <w:t>Поставщика</w:t>
      </w:r>
      <w:r w:rsidRPr="00975C44">
        <w:rPr>
          <w:rFonts w:ascii="Times New Roman" w:eastAsia="Times New Roman" w:hAnsi="Times New Roman" w:cs="Times New Roman"/>
          <w:sz w:val="24"/>
          <w:szCs w:val="24"/>
          <w:lang w:eastAsia="ru-RU"/>
        </w:rPr>
        <w:t xml:space="preserve"> перед Заказчиком.</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6.6. </w:t>
      </w:r>
      <w:proofErr w:type="gramStart"/>
      <w:r w:rsidRPr="00975C44">
        <w:rPr>
          <w:rFonts w:ascii="Times New Roman" w:eastAsia="Times New Roman" w:hAnsi="Times New Roman" w:cs="Times New Roman"/>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Pr="00975C44">
        <w:rPr>
          <w:rFonts w:ascii="Times New Roman" w:eastAsia="Times New Roman" w:hAnsi="Times New Roman" w:cs="Times New Roman"/>
          <w:sz w:val="24"/>
          <w:szCs w:val="24"/>
          <w:lang w:eastAsia="ru-RU"/>
        </w:rPr>
        <w:lastRenderedPageBreak/>
        <w:t>постановлением Правительства Российской Федерации от 8</w:t>
      </w:r>
      <w:proofErr w:type="gramEnd"/>
      <w:r w:rsidRPr="00975C44">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75C44">
        <w:rPr>
          <w:rFonts w:ascii="Times New Roman" w:eastAsia="Times New Roman" w:hAnsi="Times New Roman" w:cs="Times New Roman"/>
          <w:sz w:val="24"/>
          <w:szCs w:val="24"/>
          <w:lang w:eastAsia="ru-RU"/>
        </w:rPr>
        <w:t>срок</w:t>
      </w:r>
      <w:proofErr w:type="gramEnd"/>
      <w:r w:rsidRPr="00975C44">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6.8. </w:t>
      </w:r>
      <w:proofErr w:type="gramStart"/>
      <w:r w:rsidRPr="00975C44">
        <w:rPr>
          <w:rFonts w:ascii="Times New Roman" w:eastAsia="Times New Roman" w:hAnsi="Times New Roman" w:cs="Times New Roman"/>
          <w:sz w:val="24"/>
          <w:szCs w:val="24"/>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975C44">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xml:space="preserve">, в том числе рассчитываемой как процент цены Контракта, или в случае, если </w:t>
      </w:r>
      <w:r w:rsidRPr="003E1C3C">
        <w:rPr>
          <w:rFonts w:ascii="Times New Roman" w:eastAsia="Times New Roman" w:hAnsi="Times New Roman" w:cs="Times New Roman"/>
          <w:iCs/>
          <w:sz w:val="24"/>
          <w:szCs w:val="24"/>
          <w:lang w:eastAsia="ru-RU"/>
        </w:rPr>
        <w:lastRenderedPageBreak/>
        <w:t>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0" w:name="P67"/>
      <w:bookmarkEnd w:id="0"/>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81"/>
      <w:bookmarkEnd w:id="1"/>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10.5. Заказчик вправе принять решение одностороннем </w:t>
      </w:r>
      <w:proofErr w:type="gramStart"/>
      <w:r w:rsidRPr="001F31D0">
        <w:rPr>
          <w:rFonts w:ascii="Times New Roman" w:eastAsia="Times New Roman" w:hAnsi="Times New Roman" w:cs="Times New Roman"/>
          <w:sz w:val="24"/>
          <w:szCs w:val="24"/>
          <w:lang w:eastAsia="ru-RU"/>
        </w:rPr>
        <w:t>отказе</w:t>
      </w:r>
      <w:proofErr w:type="gramEnd"/>
      <w:r w:rsidRPr="001F31D0">
        <w:rPr>
          <w:rFonts w:ascii="Times New Roman" w:eastAsia="Times New Roman" w:hAnsi="Times New Roman" w:cs="Times New Roman"/>
          <w:sz w:val="24"/>
          <w:szCs w:val="24"/>
          <w:lang w:eastAsia="ru-RU"/>
        </w:rPr>
        <w:t xml:space="preserve">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F31D0">
        <w:rPr>
          <w:rFonts w:ascii="Times New Roman" w:eastAsia="Times New Roman" w:hAnsi="Times New Roman" w:cs="Times New Roman"/>
          <w:sz w:val="24"/>
          <w:szCs w:val="24"/>
          <w:lang w:eastAsia="ru-RU"/>
        </w:rPr>
        <w:t>с даты размещения</w:t>
      </w:r>
      <w:proofErr w:type="gramEnd"/>
      <w:r w:rsidRPr="001F31D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w:t>
      </w:r>
      <w:r w:rsidRPr="001F31D0">
        <w:rPr>
          <w:rFonts w:ascii="Times New Roman" w:eastAsia="Times New Roman" w:hAnsi="Times New Roman" w:cs="Times New Roman"/>
          <w:sz w:val="24"/>
          <w:szCs w:val="24"/>
          <w:lang w:eastAsia="ru-RU"/>
        </w:rPr>
        <w:lastRenderedPageBreak/>
        <w:t xml:space="preserve">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упает в силу со дня подписания его Сторонами и действует по 31.05.20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01.06.20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w:t>
      </w:r>
      <w:r w:rsidRPr="001F31D0">
        <w:rPr>
          <w:rFonts w:ascii="Times New Roman" w:eastAsia="Times New Roman" w:hAnsi="Times New Roman" w:cs="Times New Roman"/>
          <w:sz w:val="24"/>
          <w:szCs w:val="24"/>
          <w:lang w:eastAsia="ru-RU"/>
        </w:rPr>
        <w:lastRenderedPageBreak/>
        <w:t>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Подписи сторон</w:t>
      </w:r>
    </w:p>
    <w:p w:rsidR="00727303" w:rsidRPr="00727303"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Л.А. Михайлова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A955BF" w:rsidRPr="001F31D0" w:rsidRDefault="00A955BF" w:rsidP="001F31D0">
      <w:pPr>
        <w:spacing w:after="0" w:line="240" w:lineRule="auto"/>
        <w:jc w:val="both"/>
        <w:rPr>
          <w:rFonts w:ascii="Times New Roman" w:eastAsia="Times New Roman" w:hAnsi="Times New Roman" w:cs="Times New Roman"/>
          <w:bCs/>
          <w:sz w:val="24"/>
          <w:szCs w:val="24"/>
          <w:lang w:eastAsia="ru-RU"/>
        </w:rPr>
      </w:pPr>
    </w:p>
    <w:p w:rsidR="001165DC" w:rsidRPr="001165DC" w:rsidRDefault="001165DC" w:rsidP="001165DC">
      <w:pPr>
        <w:spacing w:after="0" w:line="240" w:lineRule="auto"/>
        <w:jc w:val="both"/>
        <w:rPr>
          <w:rFonts w:ascii="Times New Roman" w:eastAsia="Times New Roman" w:hAnsi="Times New Roman" w:cs="Times New Roman"/>
          <w:bCs/>
          <w:sz w:val="24"/>
          <w:szCs w:val="24"/>
          <w:lang w:eastAsia="ru-RU"/>
        </w:rPr>
      </w:pPr>
      <w:r w:rsidRPr="001165DC">
        <w:rPr>
          <w:rFonts w:ascii="Times New Roman" w:eastAsia="Times New Roman" w:hAnsi="Times New Roman" w:cs="Times New Roman"/>
          <w:bCs/>
          <w:sz w:val="24"/>
          <w:szCs w:val="24"/>
          <w:lang w:eastAsia="ru-RU"/>
        </w:rPr>
        <w:t>Специалист-эксперт</w:t>
      </w:r>
    </w:p>
    <w:p w:rsidR="00A955BF" w:rsidRPr="001F31D0" w:rsidRDefault="001165DC" w:rsidP="001165DC">
      <w:pPr>
        <w:spacing w:after="0" w:line="240" w:lineRule="auto"/>
        <w:jc w:val="both"/>
        <w:rPr>
          <w:rFonts w:ascii="Times New Roman" w:eastAsia="Times New Roman" w:hAnsi="Times New Roman" w:cs="Times New Roman"/>
          <w:bCs/>
          <w:sz w:val="24"/>
          <w:szCs w:val="24"/>
          <w:lang w:eastAsia="ru-RU"/>
        </w:rPr>
      </w:pPr>
      <w:r w:rsidRPr="001165DC">
        <w:rPr>
          <w:rFonts w:ascii="Times New Roman" w:eastAsia="Times New Roman" w:hAnsi="Times New Roman" w:cs="Times New Roman"/>
          <w:bCs/>
          <w:sz w:val="24"/>
          <w:szCs w:val="24"/>
          <w:lang w:eastAsia="ru-RU"/>
        </w:rPr>
        <w:t xml:space="preserve">по охране труда ОП и ТО ДЭР и </w:t>
      </w:r>
      <w:proofErr w:type="gramStart"/>
      <w:r w:rsidRPr="001165DC">
        <w:rPr>
          <w:rFonts w:ascii="Times New Roman" w:eastAsia="Times New Roman" w:hAnsi="Times New Roman" w:cs="Times New Roman"/>
          <w:bCs/>
          <w:sz w:val="24"/>
          <w:szCs w:val="24"/>
          <w:lang w:eastAsia="ru-RU"/>
        </w:rPr>
        <w:t xml:space="preserve">ПУ                             </w:t>
      </w:r>
      <w:r>
        <w:rPr>
          <w:rFonts w:ascii="Times New Roman" w:eastAsia="Times New Roman" w:hAnsi="Times New Roman" w:cs="Times New Roman"/>
          <w:bCs/>
          <w:sz w:val="24"/>
          <w:szCs w:val="24"/>
          <w:lang w:eastAsia="ru-RU"/>
        </w:rPr>
        <w:t xml:space="preserve">         </w:t>
      </w:r>
      <w:r w:rsidRPr="001165DC">
        <w:rPr>
          <w:rFonts w:ascii="Times New Roman" w:eastAsia="Times New Roman" w:hAnsi="Times New Roman" w:cs="Times New Roman"/>
          <w:bCs/>
          <w:sz w:val="24"/>
          <w:szCs w:val="24"/>
          <w:lang w:eastAsia="ru-RU"/>
        </w:rPr>
        <w:t xml:space="preserve">                        Т.</w:t>
      </w:r>
      <w:proofErr w:type="gramEnd"/>
      <w:r w:rsidRPr="001165DC">
        <w:rPr>
          <w:rFonts w:ascii="Times New Roman" w:eastAsia="Times New Roman" w:hAnsi="Times New Roman" w:cs="Times New Roman"/>
          <w:bCs/>
          <w:sz w:val="24"/>
          <w:szCs w:val="24"/>
          <w:lang w:eastAsia="ru-RU"/>
        </w:rPr>
        <w:t>В. Илюшина</w:t>
      </w:r>
    </w:p>
    <w:p w:rsidR="001F31D0" w:rsidRP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bCs/>
          <w:sz w:val="24"/>
          <w:szCs w:val="24"/>
          <w:lang w:eastAsia="ru-RU"/>
        </w:rPr>
        <w:t>Исп. Гл. эксперт</w:t>
      </w:r>
      <w:r w:rsidR="00B555C8">
        <w:rPr>
          <w:rFonts w:ascii="Times New Roman" w:eastAsia="Times New Roman" w:hAnsi="Times New Roman" w:cs="Times New Roman"/>
          <w:bCs/>
          <w:sz w:val="24"/>
          <w:szCs w:val="24"/>
          <w:lang w:eastAsia="ru-RU"/>
        </w:rPr>
        <w:t xml:space="preserve"> </w:t>
      </w:r>
      <w:r w:rsidRPr="001F31D0">
        <w:rPr>
          <w:rFonts w:ascii="Times New Roman" w:eastAsia="Times New Roman" w:hAnsi="Times New Roman" w:cs="Times New Roman"/>
          <w:bCs/>
          <w:sz w:val="24"/>
          <w:szCs w:val="24"/>
          <w:lang w:eastAsia="ru-RU"/>
        </w:rPr>
        <w:t xml:space="preserve">М.Г. Филиппова, 8 (34675) 50047.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 w:name="_GoBack"/>
      <w:bookmarkEnd w:id="2"/>
      <w:r w:rsidRPr="00727303">
        <w:rPr>
          <w:rFonts w:ascii="Times New Roman" w:eastAsia="Times New Roman" w:hAnsi="Times New Roman" w:cs="Times New Roman"/>
          <w:sz w:val="24"/>
          <w:szCs w:val="24"/>
          <w:lang w:eastAsia="ru-RU"/>
        </w:rPr>
        <w:lastRenderedPageBreak/>
        <w:t xml:space="preserve">Приложение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348" w:type="dxa"/>
        <w:tblInd w:w="-459" w:type="dxa"/>
        <w:tblLayout w:type="fixed"/>
        <w:tblLook w:val="04A0" w:firstRow="1" w:lastRow="0" w:firstColumn="1" w:lastColumn="0" w:noHBand="0" w:noVBand="1"/>
      </w:tblPr>
      <w:tblGrid>
        <w:gridCol w:w="567"/>
        <w:gridCol w:w="1560"/>
        <w:gridCol w:w="3402"/>
        <w:gridCol w:w="709"/>
        <w:gridCol w:w="709"/>
        <w:gridCol w:w="1842"/>
        <w:gridCol w:w="1559"/>
      </w:tblGrid>
      <w:tr w:rsidR="00727303" w:rsidRPr="00727303" w:rsidTr="00183852">
        <w:trPr>
          <w:trHeight w:val="406"/>
        </w:trPr>
        <w:tc>
          <w:tcPr>
            <w:tcW w:w="6947" w:type="dxa"/>
            <w:gridSpan w:val="5"/>
            <w:tcBorders>
              <w:top w:val="single" w:sz="8" w:space="0" w:color="auto"/>
              <w:left w:val="single" w:sz="8" w:space="0" w:color="auto"/>
              <w:bottom w:val="nil"/>
              <w:right w:val="single" w:sz="8" w:space="0" w:color="auto"/>
            </w:tcBorders>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727303" w:rsidRDefault="00CA083E"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00727303" w:rsidRPr="00727303">
              <w:rPr>
                <w:rFonts w:ascii="Times New Roman" w:eastAsia="Times New Roman" w:hAnsi="Times New Roman" w:cs="Times New Roman"/>
                <w:lang w:eastAsia="ru-RU"/>
              </w:rPr>
              <w:t>ена контракта, рублей</w:t>
            </w:r>
          </w:p>
        </w:tc>
      </w:tr>
      <w:tr w:rsidR="00F02E13" w:rsidRPr="00727303" w:rsidTr="000227B5">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560" w:type="dxa"/>
            <w:tcBorders>
              <w:top w:val="single" w:sz="4" w:space="0" w:color="auto"/>
              <w:left w:val="single" w:sz="4" w:space="0" w:color="auto"/>
              <w:bottom w:val="single" w:sz="4" w:space="0" w:color="auto"/>
              <w:right w:val="single" w:sz="4"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Код ОКПД 2</w:t>
            </w: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842"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064D1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8" w:space="0" w:color="auto"/>
              <w:right w:val="nil"/>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CE1E07">
        <w:trPr>
          <w:trHeight w:val="525"/>
        </w:trPr>
        <w:tc>
          <w:tcPr>
            <w:tcW w:w="5529" w:type="dxa"/>
            <w:gridSpan w:val="3"/>
            <w:tcBorders>
              <w:top w:val="single" w:sz="8" w:space="0" w:color="auto"/>
              <w:left w:val="single" w:sz="8" w:space="0" w:color="auto"/>
              <w:bottom w:val="single" w:sz="8" w:space="0" w:color="auto"/>
              <w:right w:val="single" w:sz="8"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nil"/>
              <w:bottom w:val="single" w:sz="8" w:space="0" w:color="auto"/>
              <w:right w:val="single" w:sz="8" w:space="0" w:color="auto"/>
            </w:tcBorders>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nil"/>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7B" w:rsidRDefault="00D2157B" w:rsidP="00407514">
      <w:pPr>
        <w:spacing w:after="0" w:line="240" w:lineRule="auto"/>
      </w:pPr>
      <w:r>
        <w:separator/>
      </w:r>
    </w:p>
  </w:endnote>
  <w:endnote w:type="continuationSeparator" w:id="0">
    <w:p w:rsidR="00D2157B" w:rsidRDefault="00D2157B"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7B" w:rsidRDefault="00D2157B" w:rsidP="00407514">
      <w:pPr>
        <w:spacing w:after="0" w:line="240" w:lineRule="auto"/>
      </w:pPr>
      <w:r>
        <w:separator/>
      </w:r>
    </w:p>
  </w:footnote>
  <w:footnote w:type="continuationSeparator" w:id="0">
    <w:p w:rsidR="00D2157B" w:rsidRDefault="00D2157B"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347D8"/>
    <w:rsid w:val="000C397A"/>
    <w:rsid w:val="001029D7"/>
    <w:rsid w:val="001165DC"/>
    <w:rsid w:val="001B7E87"/>
    <w:rsid w:val="001F31D0"/>
    <w:rsid w:val="00213085"/>
    <w:rsid w:val="00220039"/>
    <w:rsid w:val="00236FE8"/>
    <w:rsid w:val="00294164"/>
    <w:rsid w:val="002B0E67"/>
    <w:rsid w:val="003064E0"/>
    <w:rsid w:val="00356E26"/>
    <w:rsid w:val="0037469F"/>
    <w:rsid w:val="003C2809"/>
    <w:rsid w:val="003D1E3B"/>
    <w:rsid w:val="003E1C3C"/>
    <w:rsid w:val="00407514"/>
    <w:rsid w:val="00436DEA"/>
    <w:rsid w:val="00444E9B"/>
    <w:rsid w:val="004538B8"/>
    <w:rsid w:val="004636F3"/>
    <w:rsid w:val="004C73AF"/>
    <w:rsid w:val="004E0ACB"/>
    <w:rsid w:val="004E2CD3"/>
    <w:rsid w:val="00501C0A"/>
    <w:rsid w:val="005C1B24"/>
    <w:rsid w:val="005F10FC"/>
    <w:rsid w:val="005F36CB"/>
    <w:rsid w:val="00671C99"/>
    <w:rsid w:val="006738C1"/>
    <w:rsid w:val="006966A3"/>
    <w:rsid w:val="00721204"/>
    <w:rsid w:val="00727303"/>
    <w:rsid w:val="00913424"/>
    <w:rsid w:val="00921390"/>
    <w:rsid w:val="00975C44"/>
    <w:rsid w:val="009C1B0A"/>
    <w:rsid w:val="009F5107"/>
    <w:rsid w:val="00A955BF"/>
    <w:rsid w:val="00AB54EA"/>
    <w:rsid w:val="00AD566D"/>
    <w:rsid w:val="00AE017D"/>
    <w:rsid w:val="00AE2845"/>
    <w:rsid w:val="00B3509A"/>
    <w:rsid w:val="00B555C8"/>
    <w:rsid w:val="00BC41DA"/>
    <w:rsid w:val="00C03EF4"/>
    <w:rsid w:val="00C52E62"/>
    <w:rsid w:val="00C81190"/>
    <w:rsid w:val="00CA083E"/>
    <w:rsid w:val="00D2157B"/>
    <w:rsid w:val="00D402BB"/>
    <w:rsid w:val="00E0630F"/>
    <w:rsid w:val="00E34788"/>
    <w:rsid w:val="00E72146"/>
    <w:rsid w:val="00EB35EA"/>
    <w:rsid w:val="00EB5ABD"/>
    <w:rsid w:val="00EF2192"/>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7349</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24</cp:revision>
  <cp:lastPrinted>2020-03-05T07:10:00Z</cp:lastPrinted>
  <dcterms:created xsi:type="dcterms:W3CDTF">2020-02-28T14:09:00Z</dcterms:created>
  <dcterms:modified xsi:type="dcterms:W3CDTF">2020-03-11T07:54:00Z</dcterms:modified>
</cp:coreProperties>
</file>