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DF" w:rsidRDefault="00862265">
      <w:r>
        <w:rPr>
          <w:noProof/>
          <w:lang w:eastAsia="ru-RU"/>
        </w:rPr>
        <w:drawing>
          <wp:inline distT="0" distB="0" distL="0" distR="0">
            <wp:extent cx="5940425" cy="8307222"/>
            <wp:effectExtent l="0" t="0" r="3175" b="0"/>
            <wp:docPr id="1" name="Рисунок 1" descr="K:\Никулина\Рамки\титульный - копия.docx - 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Рамки\титульный - копия.docx - 00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07222"/>
                    </a:xfrm>
                    <a:prstGeom prst="rect">
                      <a:avLst/>
                    </a:prstGeom>
                    <a:noFill/>
                    <a:ln>
                      <a:noFill/>
                    </a:ln>
                  </pic:spPr>
                </pic:pic>
              </a:graphicData>
            </a:graphic>
          </wp:inline>
        </w:drawing>
      </w:r>
    </w:p>
    <w:p w:rsidR="00862265" w:rsidRDefault="00862265"/>
    <w:p w:rsidR="00862265" w:rsidRDefault="00862265"/>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862265" w:rsidRPr="00862265" w:rsidTr="005844B2">
        <w:trPr>
          <w:trHeight w:val="612"/>
        </w:trPr>
        <w:tc>
          <w:tcPr>
            <w:tcW w:w="1276" w:type="dxa"/>
            <w:tcBorders>
              <w:top w:val="single" w:sz="6" w:space="0" w:color="000000"/>
              <w:left w:val="single" w:sz="6" w:space="0" w:color="000000"/>
              <w:right w:val="single" w:sz="6" w:space="0" w:color="000000"/>
            </w:tcBorders>
            <w:vAlign w:val="center"/>
          </w:tcPr>
          <w:p w:rsidR="00862265" w:rsidRPr="00862265" w:rsidRDefault="00862265" w:rsidP="00862265">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862265" w:rsidRPr="00862265" w:rsidRDefault="00862265" w:rsidP="00862265">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862265" w:rsidRPr="00862265" w:rsidTr="005844B2">
        <w:trPr>
          <w:trHeight w:val="2343"/>
        </w:trPr>
        <w:tc>
          <w:tcPr>
            <w:tcW w:w="1276" w:type="dxa"/>
            <w:tcBorders>
              <w:top w:val="single" w:sz="6" w:space="0" w:color="000000"/>
              <w:left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after="0" w:line="240" w:lineRule="auto"/>
              <w:jc w:val="both"/>
              <w:rPr>
                <w:rFonts w:ascii="PT Astra Serif" w:eastAsia="Times New Roman" w:hAnsi="PT Astra Serif" w:cs="Times New Roman"/>
                <w:b/>
                <w:sz w:val="24"/>
                <w:szCs w:val="24"/>
              </w:rPr>
            </w:pPr>
          </w:p>
          <w:p w:rsidR="00862265" w:rsidRPr="00862265" w:rsidRDefault="00862265" w:rsidP="00862265">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862265" w:rsidRPr="00862265" w:rsidRDefault="00862265" w:rsidP="00862265">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862265" w:rsidRPr="00862265" w:rsidRDefault="00862265" w:rsidP="00862265">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862265" w:rsidRPr="00862265" w:rsidTr="005844B2">
        <w:trPr>
          <w:trHeight w:val="2343"/>
        </w:trPr>
        <w:tc>
          <w:tcPr>
            <w:tcW w:w="1276" w:type="dxa"/>
            <w:tcBorders>
              <w:top w:val="single" w:sz="6" w:space="0" w:color="000000"/>
              <w:left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862265" w:rsidRPr="00862265" w:rsidRDefault="00862265" w:rsidP="00862265">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24 38622002368862201001 0233 001 2229 244</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sidRPr="00862265">
              <w:rPr>
                <w:rFonts w:ascii="PT Astra Serif" w:eastAsia="Times New Roman" w:hAnsi="PT Astra Serif" w:cs="Times New Roman"/>
                <w:bCs/>
                <w:color w:val="000000"/>
                <w:sz w:val="24"/>
                <w:szCs w:val="24"/>
              </w:rPr>
              <w:t>на право заключения муниципального контракта на поставку рамок</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p w:rsidR="00862265" w:rsidRPr="00862265" w:rsidRDefault="00862265" w:rsidP="00862265">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Срок поставки товара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 по  30.08.2024 г.</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Окончание исполнения контракта –30 .09.2024 г.</w:t>
            </w:r>
          </w:p>
          <w:p w:rsidR="00862265" w:rsidRPr="00862265" w:rsidRDefault="00862265" w:rsidP="00862265">
            <w:pPr>
              <w:spacing w:after="0" w:line="240" w:lineRule="auto"/>
              <w:jc w:val="both"/>
              <w:rPr>
                <w:rFonts w:ascii="PT Astra Serif" w:eastAsia="Times New Roman" w:hAnsi="PT Astra Serif" w:cs="Times New Roman"/>
                <w:sz w:val="24"/>
                <w:szCs w:val="24"/>
              </w:rPr>
            </w:pPr>
          </w:p>
          <w:p w:rsidR="00862265" w:rsidRPr="00862265" w:rsidRDefault="00862265" w:rsidP="00862265">
            <w:pPr>
              <w:spacing w:after="0" w:line="240" w:lineRule="auto"/>
              <w:jc w:val="both"/>
              <w:rPr>
                <w:rFonts w:ascii="PT Astra Serif" w:eastAsia="Times New Roman" w:hAnsi="PT Astra Serif" w:cs="Times New Roman"/>
                <w:sz w:val="24"/>
                <w:szCs w:val="24"/>
              </w:rPr>
            </w:pPr>
          </w:p>
          <w:p w:rsidR="00862265" w:rsidRPr="00862265" w:rsidRDefault="00862265" w:rsidP="00862265">
            <w:pPr>
              <w:spacing w:after="0" w:line="240" w:lineRule="auto"/>
              <w:jc w:val="both"/>
              <w:rPr>
                <w:rFonts w:ascii="PT Astra Serif" w:eastAsia="Times New Roman" w:hAnsi="PT Astra Serif" w:cs="Times New Roman"/>
                <w:sz w:val="24"/>
                <w:szCs w:val="24"/>
              </w:rPr>
            </w:pPr>
          </w:p>
        </w:tc>
      </w:tr>
      <w:tr w:rsidR="00862265" w:rsidRPr="00862265" w:rsidTr="005844B2">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napToGrid w:val="0"/>
                <w:sz w:val="24"/>
                <w:szCs w:val="24"/>
              </w:rPr>
              <w:t>75 778 (семьдесят пять тысяч семьсот семьдесят  восемь) рублей 51 копейка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Бюджет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на 2024 год </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862265" w:rsidRPr="00862265" w:rsidRDefault="00862265" w:rsidP="00862265">
            <w:pPr>
              <w:spacing w:after="0" w:line="240" w:lineRule="auto"/>
              <w:jc w:val="both"/>
              <w:rPr>
                <w:rFonts w:ascii="PT Astra Serif" w:eastAsia="Times New Roman" w:hAnsi="PT Astra Serif" w:cs="Times New Roman"/>
                <w:i/>
                <w:color w:val="000000"/>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обязанности </w:t>
            </w:r>
            <w:proofErr w:type="gramStart"/>
            <w:r w:rsidRPr="00862265">
              <w:rPr>
                <w:rFonts w:ascii="PT Astra Serif" w:eastAsia="Times New Roman" w:hAnsi="PT Astra Serif" w:cs="Times New Roman"/>
                <w:color w:val="000000"/>
                <w:sz w:val="24"/>
                <w:szCs w:val="24"/>
              </w:rPr>
              <w:t>заявителя</w:t>
            </w:r>
            <w:proofErr w:type="gramEnd"/>
            <w:r w:rsidRPr="00862265">
              <w:rPr>
                <w:rFonts w:ascii="PT Astra Serif" w:eastAsia="Times New Roman" w:hAnsi="PT Astra Serif" w:cs="Times New Roman"/>
                <w:color w:val="000000"/>
                <w:sz w:val="24"/>
                <w:szCs w:val="24"/>
              </w:rPr>
              <w:t xml:space="preserve"> по уплате этих сумм </w:t>
            </w:r>
            <w:r w:rsidRPr="00862265">
              <w:rPr>
                <w:rFonts w:ascii="PT Astra Serif" w:eastAsia="Times New Roman" w:hAnsi="PT Astra Serif" w:cs="Times New Roman"/>
                <w:color w:val="000000"/>
                <w:sz w:val="24"/>
                <w:szCs w:val="24"/>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 физическим лицом (в том числе зарегистрированным в качестве индивидуального предпринимателя), являющимся </w:t>
            </w:r>
            <w:r w:rsidRPr="00862265">
              <w:rPr>
                <w:rFonts w:ascii="PT Astra Serif" w:eastAsia="Times New Roman" w:hAnsi="PT Astra Serif" w:cs="Times New Roman"/>
                <w:color w:val="000000"/>
                <w:sz w:val="24"/>
                <w:szCs w:val="24"/>
              </w:rPr>
              <w:lastRenderedPageBreak/>
              <w:t>участником закупки;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lastRenderedPageBreak/>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w:t>
            </w:r>
            <w:r w:rsidRPr="00862265">
              <w:rPr>
                <w:rFonts w:ascii="PT Astra Serif" w:eastAsia="Times New Roman" w:hAnsi="PT Astra Serif" w:cs="Times New Roman"/>
                <w:color w:val="000000"/>
                <w:sz w:val="24"/>
                <w:szCs w:val="24"/>
              </w:rPr>
              <w:lastRenderedPageBreak/>
              <w:t>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862265" w:rsidRPr="00862265" w:rsidRDefault="00862265" w:rsidP="00862265">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Размер 15 % от цены контракта.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62265">
              <w:rPr>
                <w:rFonts w:ascii="PT Astra Serif" w:eastAsia="Times New Roman" w:hAnsi="PT Astra Serif" w:cs="Times New Roman"/>
                <w:sz w:val="24"/>
                <w:szCs w:val="24"/>
              </w:rPr>
              <w:t xml:space="preserve"> </w:t>
            </w:r>
            <w:r w:rsidRPr="00862265">
              <w:rPr>
                <w:rFonts w:ascii="PT Astra Serif" w:eastAsia="Times New Roman" w:hAnsi="PT Astra Serif" w:cs="Times New Roman"/>
                <w:color w:val="000000"/>
                <w:sz w:val="24"/>
                <w:szCs w:val="24"/>
              </w:rPr>
              <w:t xml:space="preserve">в случае, если такие условия, запреты и </w:t>
            </w:r>
            <w:r w:rsidRPr="00862265">
              <w:rPr>
                <w:rFonts w:ascii="PT Astra Serif" w:eastAsia="Times New Roman" w:hAnsi="PT Astra Serif" w:cs="Times New Roman"/>
                <w:color w:val="000000"/>
                <w:sz w:val="24"/>
                <w:szCs w:val="24"/>
              </w:rPr>
              <w:lastRenderedPageBreak/>
              <w:t>ограничения установлены в соответствии со статьей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lastRenderedPageBreak/>
              <w:t>Установлено:</w:t>
            </w:r>
          </w:p>
          <w:p w:rsidR="0035061D" w:rsidRDefault="0035061D" w:rsidP="0035061D">
            <w:pPr>
              <w:shd w:val="clear" w:color="auto" w:fill="FFFFFF"/>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 Постановление</w:t>
            </w:r>
            <w:r w:rsidR="00862265" w:rsidRPr="00862265">
              <w:rPr>
                <w:rFonts w:ascii="PT Astra Serif" w:eastAsia="Times New Roman" w:hAnsi="PT Astra Serif" w:cs="Times New Roman"/>
                <w:color w:val="000000"/>
                <w:sz w:val="24"/>
                <w:szCs w:val="24"/>
              </w:rPr>
              <w:t xml:space="preserve">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862265" w:rsidRPr="00862265" w:rsidRDefault="0035061D" w:rsidP="0035061D">
            <w:pPr>
              <w:shd w:val="clear" w:color="auto" w:fill="FFFFFF"/>
              <w:spacing w:before="100" w:beforeAutospacing="1" w:after="100" w:afterAutospacing="1"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color w:val="000000"/>
                <w:sz w:val="24"/>
                <w:szCs w:val="24"/>
              </w:rPr>
              <w:t xml:space="preserve"> </w:t>
            </w:r>
            <w:r w:rsidR="00862265" w:rsidRPr="00862265">
              <w:rPr>
                <w:rFonts w:ascii="PT Astra Serif" w:eastAsia="Times New Roman" w:hAnsi="PT Astra Serif" w:cs="Times New Roman"/>
                <w:color w:val="000000"/>
                <w:sz w:val="24"/>
                <w:szCs w:val="24"/>
              </w:rPr>
              <w:t>2</w:t>
            </w:r>
            <w:r>
              <w:rPr>
                <w:rFonts w:ascii="PT Astra Serif" w:eastAsia="Times New Roman" w:hAnsi="PT Astra Serif" w:cs="Times New Roman"/>
                <w:color w:val="000000"/>
                <w:sz w:val="24"/>
                <w:szCs w:val="24"/>
              </w:rPr>
              <w:t>) Приказ</w:t>
            </w:r>
            <w:r w:rsidR="00862265" w:rsidRPr="00862265">
              <w:rPr>
                <w:rFonts w:ascii="PT Astra Serif" w:eastAsia="Times New Roman" w:hAnsi="PT Astra Serif" w:cs="Times New Roman"/>
                <w:color w:val="000000"/>
                <w:sz w:val="24"/>
                <w:szCs w:val="24"/>
              </w:rPr>
              <w:t xml:space="preserve">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участник закупки </w:t>
            </w:r>
            <w:r w:rsidR="00862265" w:rsidRPr="00862265">
              <w:rPr>
                <w:rFonts w:ascii="PT Astra Serif" w:eastAsia="Times New Roman" w:hAnsi="PT Astra Serif" w:cs="Times New Roman"/>
                <w:color w:val="000000"/>
                <w:sz w:val="24"/>
                <w:szCs w:val="24"/>
              </w:rPr>
              <w:lastRenderedPageBreak/>
              <w:t>декларирует информацию о стране происхождения товара.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p>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 xml:space="preserve">размере 1 % от начальной (максимальной) цены контракта, что составляет 757 </w:t>
            </w:r>
            <w:r w:rsidRPr="00862265">
              <w:rPr>
                <w:rFonts w:ascii="PT Astra Serif" w:eastAsia="Times New Roman" w:hAnsi="PT Astra Serif" w:cs="Times New Roman"/>
                <w:i/>
                <w:sz w:val="24"/>
                <w:szCs w:val="24"/>
                <w:u w:val="single"/>
              </w:rPr>
              <w:t>(семьсот пятьдесят семь) рублей 79 копеек</w:t>
            </w:r>
            <w:r w:rsidRPr="00862265">
              <w:rPr>
                <w:rFonts w:ascii="PT Astra Serif" w:eastAsia="Times New Roman" w:hAnsi="PT Astra Serif" w:cs="Times New Roman"/>
                <w:sz w:val="24"/>
                <w:szCs w:val="24"/>
              </w:rPr>
              <w:t>.</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862265" w:rsidRPr="00862265" w:rsidRDefault="00862265" w:rsidP="00862265">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862265" w:rsidRPr="00862265" w:rsidTr="005844B2">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Реквизиты счета, на котором в соответствии </w:t>
            </w:r>
            <w:r w:rsidRPr="00862265">
              <w:rPr>
                <w:rFonts w:ascii="PT Astra Serif" w:eastAsia="Times New Roman" w:hAnsi="PT Astra Serif" w:cs="Times New Roman"/>
                <w:color w:val="000000"/>
                <w:sz w:val="24"/>
                <w:szCs w:val="24"/>
              </w:rPr>
              <w:lastRenderedPageBreak/>
              <w:t>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lastRenderedPageBreak/>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 контракта, что составляет 3 788 (три тысячи семьсот восемьдесят восемь) рублей 93 копеек.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w:t>
            </w:r>
            <w:r w:rsidRPr="00862265">
              <w:rPr>
                <w:rFonts w:ascii="PT Astra Serif" w:eastAsia="Times New Roman" w:hAnsi="PT Astra Serif" w:cs="Times New Roman"/>
                <w:color w:val="000000"/>
                <w:sz w:val="24"/>
                <w:szCs w:val="24"/>
              </w:rPr>
              <w:lastRenderedPageBreak/>
              <w:t>96 Закона о контрактной системе)</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
          <w:p w:rsidR="00862265" w:rsidRPr="00862265" w:rsidRDefault="00862265" w:rsidP="00862265">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w:t>
            </w:r>
            <w:r w:rsidRPr="00862265">
              <w:rPr>
                <w:rFonts w:ascii="PT Astra Serif" w:eastAsia="Times New Roman" w:hAnsi="PT Astra Serif" w:cs="Times New Roman"/>
                <w:color w:val="000000"/>
                <w:sz w:val="24"/>
                <w:szCs w:val="24"/>
              </w:rPr>
              <w:lastRenderedPageBreak/>
              <w:t>070190000), ИНН 8622002368, КПП 862201001.</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«Обеспечение исполнения муниципального контракта по аукциону в электронной форме № ___________ на поставку рамок».</w:t>
            </w:r>
          </w:p>
          <w:p w:rsidR="00862265" w:rsidRPr="00862265" w:rsidRDefault="00862265" w:rsidP="00862265">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w:t>
            </w:r>
            <w:r w:rsidRPr="00862265">
              <w:rPr>
                <w:rFonts w:ascii="PT Astra Serif" w:eastAsia="Times New Roman" w:hAnsi="PT Astra Serif" w:cs="Times New Roman"/>
                <w:color w:val="000000"/>
                <w:sz w:val="24"/>
                <w:szCs w:val="24"/>
              </w:rPr>
              <w:lastRenderedPageBreak/>
              <w:t>в извещении об осуществлении закупки</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ED3CCB">
              <w:rPr>
                <w:rFonts w:ascii="PT Astra Serif" w:eastAsia="Times New Roman" w:hAnsi="PT Astra Serif" w:cs="Times New Roman"/>
                <w:color w:val="000000"/>
                <w:sz w:val="24"/>
                <w:szCs w:val="24"/>
              </w:rPr>
              <w:t>23</w:t>
            </w:r>
            <w:r w:rsidRPr="00862265">
              <w:rPr>
                <w:rFonts w:ascii="PT Astra Serif" w:eastAsia="Times New Roman" w:hAnsi="PT Astra Serif" w:cs="Times New Roman"/>
                <w:color w:val="000000"/>
                <w:sz w:val="24"/>
                <w:szCs w:val="24"/>
              </w:rPr>
              <w:t>»</w:t>
            </w:r>
            <w:r w:rsidR="00ED3CCB">
              <w:rPr>
                <w:rFonts w:ascii="PT Astra Serif" w:eastAsia="Times New Roman" w:hAnsi="PT Astra Serif" w:cs="Times New Roman"/>
                <w:color w:val="000000"/>
                <w:sz w:val="24"/>
                <w:szCs w:val="24"/>
              </w:rPr>
              <w:t xml:space="preserve">  июля</w:t>
            </w:r>
            <w:r w:rsidRPr="00862265">
              <w:rPr>
                <w:rFonts w:ascii="PT Astra Serif" w:eastAsia="Times New Roman" w:hAnsi="PT Astra Serif" w:cs="Times New Roman"/>
                <w:color w:val="000000"/>
                <w:sz w:val="24"/>
                <w:szCs w:val="24"/>
              </w:rPr>
              <w:t xml:space="preserve"> 2024 г.</w:t>
            </w:r>
          </w:p>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Дата проведения процедуры подачи предложений о цене контракта либо о сумме </w:t>
            </w:r>
            <w:r w:rsidRPr="00862265">
              <w:rPr>
                <w:rFonts w:ascii="PT Astra Serif" w:eastAsia="Times New Roman" w:hAnsi="PT Astra Serif" w:cs="Times New Roman"/>
                <w:color w:val="000000"/>
                <w:sz w:val="24"/>
                <w:szCs w:val="24"/>
              </w:rPr>
              <w:lastRenderedPageBreak/>
              <w:t>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ED3CCB">
            <w:pPr>
              <w:spacing w:before="100" w:after="100" w:line="240" w:lineRule="auto"/>
              <w:ind w:left="75" w:right="75"/>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rPr>
              <w:lastRenderedPageBreak/>
              <w:t>«</w:t>
            </w:r>
            <w:r w:rsidR="00ED3CCB">
              <w:rPr>
                <w:rFonts w:ascii="PT Astra Serif" w:eastAsia="Times New Roman" w:hAnsi="PT Astra Serif" w:cs="Times New Roman"/>
                <w:color w:val="000000"/>
                <w:sz w:val="24"/>
                <w:szCs w:val="24"/>
              </w:rPr>
              <w:t>23</w:t>
            </w:r>
            <w:r w:rsidRPr="00862265">
              <w:rPr>
                <w:rFonts w:ascii="PT Astra Serif" w:eastAsia="Times New Roman" w:hAnsi="PT Astra Serif" w:cs="Times New Roman"/>
                <w:color w:val="000000"/>
                <w:sz w:val="24"/>
                <w:szCs w:val="24"/>
              </w:rPr>
              <w:t>»</w:t>
            </w:r>
            <w:r w:rsidR="00ED3CCB">
              <w:rPr>
                <w:rFonts w:ascii="PT Astra Serif" w:eastAsia="Times New Roman" w:hAnsi="PT Astra Serif" w:cs="Times New Roman"/>
                <w:color w:val="000000"/>
                <w:sz w:val="24"/>
                <w:szCs w:val="24"/>
              </w:rPr>
              <w:t xml:space="preserve"> июля </w:t>
            </w:r>
            <w:r w:rsidRPr="00862265">
              <w:rPr>
                <w:rFonts w:ascii="PT Astra Serif" w:eastAsia="Times New Roman" w:hAnsi="PT Astra Serif" w:cs="Times New Roman"/>
                <w:color w:val="000000"/>
                <w:sz w:val="24"/>
                <w:szCs w:val="24"/>
              </w:rPr>
              <w:t xml:space="preserve"> 2024 г.</w:t>
            </w:r>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65" w:rsidRPr="00862265" w:rsidRDefault="00862265" w:rsidP="00ED3CCB">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w:t>
            </w:r>
            <w:r w:rsidR="00ED3CCB">
              <w:rPr>
                <w:rFonts w:ascii="PT Astra Serif" w:eastAsia="Times New Roman" w:hAnsi="PT Astra Serif" w:cs="Times New Roman"/>
                <w:color w:val="000000"/>
                <w:sz w:val="24"/>
                <w:szCs w:val="24"/>
              </w:rPr>
              <w:t>25</w:t>
            </w:r>
            <w:r w:rsidRPr="00862265">
              <w:rPr>
                <w:rFonts w:ascii="PT Astra Serif" w:eastAsia="Times New Roman" w:hAnsi="PT Astra Serif" w:cs="Times New Roman"/>
                <w:color w:val="000000"/>
                <w:sz w:val="24"/>
                <w:szCs w:val="24"/>
              </w:rPr>
              <w:t>»</w:t>
            </w:r>
            <w:r w:rsidR="00ED3CCB">
              <w:rPr>
                <w:rFonts w:ascii="PT Astra Serif" w:eastAsia="Times New Roman" w:hAnsi="PT Astra Serif" w:cs="Times New Roman"/>
                <w:color w:val="000000"/>
                <w:sz w:val="24"/>
                <w:szCs w:val="24"/>
              </w:rPr>
              <w:t xml:space="preserve"> </w:t>
            </w:r>
            <w:r w:rsidR="00ED3CCB">
              <w:rPr>
                <w:rFonts w:ascii="PT Astra Serif" w:eastAsia="Times New Roman" w:hAnsi="PT Astra Serif" w:cs="Times New Roman"/>
                <w:color w:val="000000"/>
                <w:sz w:val="24"/>
                <w:szCs w:val="24"/>
              </w:rPr>
              <w:t xml:space="preserve">июля </w:t>
            </w:r>
            <w:r w:rsidRPr="00862265">
              <w:rPr>
                <w:rFonts w:ascii="PT Astra Serif" w:eastAsia="Times New Roman" w:hAnsi="PT Astra Serif" w:cs="Times New Roman"/>
                <w:color w:val="000000"/>
                <w:sz w:val="24"/>
                <w:szCs w:val="24"/>
              </w:rPr>
              <w:t>2024 г.</w:t>
            </w:r>
            <w:bookmarkStart w:id="0" w:name="_GoBack"/>
            <w:bookmarkEnd w:id="0"/>
          </w:p>
        </w:tc>
      </w:tr>
      <w:tr w:rsidR="00862265" w:rsidRPr="00862265" w:rsidTr="005844B2">
        <w:tc>
          <w:tcPr>
            <w:tcW w:w="1276" w:type="dxa"/>
            <w:tcBorders>
              <w:top w:val="single" w:sz="6" w:space="0" w:color="000000"/>
              <w:left w:val="single" w:sz="6" w:space="0" w:color="000000"/>
              <w:bottom w:val="single" w:sz="6" w:space="0" w:color="000000"/>
              <w:right w:val="single" w:sz="6" w:space="0" w:color="000000"/>
            </w:tcBorders>
            <w:vAlign w:val="center"/>
          </w:tcPr>
          <w:p w:rsidR="00862265" w:rsidRPr="00862265" w:rsidRDefault="00862265" w:rsidP="00862265">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2265" w:rsidRPr="00862265" w:rsidRDefault="00862265" w:rsidP="00862265">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862265" w:rsidRPr="00862265" w:rsidRDefault="00862265" w:rsidP="00862265">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862265" w:rsidRPr="00862265" w:rsidRDefault="00862265" w:rsidP="00862265">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862265" w:rsidRPr="00862265" w:rsidTr="005844B2">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862265" w:rsidRPr="00862265" w:rsidRDefault="00862265" w:rsidP="00862265">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862265" w:rsidRPr="00862265" w:rsidRDefault="00862265" w:rsidP="00862265">
      <w:pPr>
        <w:spacing w:before="100" w:beforeAutospacing="1" w:after="100" w:afterAutospacing="1" w:line="240" w:lineRule="auto"/>
        <w:rPr>
          <w:rFonts w:ascii="PT Astra Serif" w:eastAsia="Times New Roman" w:hAnsi="PT Astra Serif" w:cs="Times New Roman"/>
          <w:sz w:val="24"/>
          <w:szCs w:val="24"/>
        </w:rPr>
      </w:pPr>
    </w:p>
    <w:p w:rsidR="00862265" w:rsidRDefault="00862265"/>
    <w:sectPr w:rsidR="00862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43"/>
    <w:rsid w:val="00223543"/>
    <w:rsid w:val="0035061D"/>
    <w:rsid w:val="00862265"/>
    <w:rsid w:val="00923BDF"/>
    <w:rsid w:val="00ED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3044</Words>
  <Characters>17352</Characters>
  <Application>Microsoft Office Word</Application>
  <DocSecurity>0</DocSecurity>
  <Lines>144</Lines>
  <Paragraphs>40</Paragraphs>
  <ScaleCrop>false</ScaleCrop>
  <Company/>
  <LinksUpToDate>false</LinksUpToDate>
  <CharactersWithSpaces>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4</cp:revision>
  <dcterms:created xsi:type="dcterms:W3CDTF">2024-07-10T06:58:00Z</dcterms:created>
  <dcterms:modified xsi:type="dcterms:W3CDTF">2024-07-15T04:55:00Z</dcterms:modified>
</cp:coreProperties>
</file>