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915" w:rsidRPr="00057915" w:rsidRDefault="00057915" w:rsidP="00057915">
      <w:pPr>
        <w:spacing w:after="0" w:line="240" w:lineRule="auto"/>
        <w:jc w:val="right"/>
        <w:rPr>
          <w:rFonts w:ascii="PT Astra Serif" w:hAnsi="PT Astra Serif"/>
          <w:b/>
          <w:sz w:val="24"/>
          <w:szCs w:val="24"/>
        </w:rPr>
      </w:pPr>
      <w:bookmarkStart w:id="0" w:name="_GoBack"/>
      <w:bookmarkEnd w:id="0"/>
      <w:r w:rsidRPr="00057915">
        <w:rPr>
          <w:rFonts w:ascii="PT Astra Serif" w:hAnsi="PT Astra Serif"/>
          <w:b/>
          <w:sz w:val="24"/>
          <w:szCs w:val="24"/>
        </w:rPr>
        <w:t xml:space="preserve">Приложение 3 </w:t>
      </w:r>
    </w:p>
    <w:p w:rsidR="00057915" w:rsidRPr="00057915" w:rsidRDefault="00057915" w:rsidP="00057915">
      <w:pPr>
        <w:spacing w:after="0" w:line="240" w:lineRule="auto"/>
        <w:jc w:val="right"/>
        <w:rPr>
          <w:rFonts w:ascii="PT Astra Serif" w:hAnsi="PT Astra Serif"/>
          <w:b/>
          <w:sz w:val="24"/>
          <w:szCs w:val="24"/>
        </w:rPr>
      </w:pPr>
      <w:r w:rsidRPr="00057915">
        <w:rPr>
          <w:rFonts w:ascii="PT Astra Serif" w:hAnsi="PT Astra Serif"/>
          <w:b/>
          <w:sz w:val="24"/>
          <w:szCs w:val="24"/>
        </w:rPr>
        <w:t>к извещению об осуществлении закупки</w:t>
      </w:r>
    </w:p>
    <w:p w:rsidR="00057915" w:rsidRPr="00057915" w:rsidRDefault="00057915" w:rsidP="00057915">
      <w:pPr>
        <w:spacing w:after="0" w:line="240" w:lineRule="auto"/>
        <w:rPr>
          <w:rFonts w:ascii="PT Astra Serif" w:hAnsi="PT Astra Serif"/>
          <w:sz w:val="24"/>
          <w:szCs w:val="24"/>
        </w:rPr>
      </w:pP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Требования к содержанию, составу заявки на участие в закупке в соответствии с Законом о контрактной системе и инструкция по ее заполнению</w:t>
      </w:r>
    </w:p>
    <w:p w:rsidR="00057915" w:rsidRPr="00057915" w:rsidRDefault="00057915" w:rsidP="00057915">
      <w:pPr>
        <w:spacing w:after="0" w:line="240" w:lineRule="auto"/>
        <w:rPr>
          <w:rFonts w:ascii="PT Astra Serif" w:hAnsi="PT Astra Serif"/>
          <w:sz w:val="24"/>
          <w:szCs w:val="24"/>
        </w:rPr>
      </w:pP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Для участия в конкурентном способе заявка на участие в закупке должна содержать следующие документы:</w:t>
      </w:r>
    </w:p>
    <w:p w:rsidR="004F099C" w:rsidRDefault="004F099C" w:rsidP="00057915">
      <w:pPr>
        <w:spacing w:after="0" w:line="240" w:lineRule="auto"/>
        <w:rPr>
          <w:rFonts w:ascii="PT Astra Serif" w:hAnsi="PT Astra Serif"/>
          <w:sz w:val="24"/>
          <w:szCs w:val="24"/>
        </w:rPr>
      </w:pPr>
    </w:p>
    <w:p w:rsidR="00057915" w:rsidRPr="004F099C" w:rsidRDefault="00057915" w:rsidP="00057915">
      <w:pPr>
        <w:spacing w:after="0" w:line="240" w:lineRule="auto"/>
        <w:rPr>
          <w:rFonts w:ascii="PT Astra Serif" w:hAnsi="PT Astra Serif"/>
          <w:b/>
          <w:sz w:val="24"/>
          <w:szCs w:val="24"/>
        </w:rPr>
      </w:pPr>
      <w:r w:rsidRPr="004F099C">
        <w:rPr>
          <w:rFonts w:ascii="PT Astra Serif" w:hAnsi="PT Astra Serif"/>
          <w:b/>
          <w:sz w:val="24"/>
          <w:szCs w:val="24"/>
        </w:rPr>
        <w:t>Для проведения электронного аукциона</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1. Информацию и документы об участнике закупки:</w:t>
      </w:r>
    </w:p>
    <w:p w:rsidR="00057915" w:rsidRPr="00057915" w:rsidRDefault="00057915" w:rsidP="00057915">
      <w:pPr>
        <w:spacing w:after="0" w:line="240" w:lineRule="auto"/>
        <w:rPr>
          <w:rFonts w:ascii="PT Astra Serif" w:hAnsi="PT Astra Serif"/>
          <w:sz w:val="24"/>
          <w:szCs w:val="24"/>
        </w:rPr>
      </w:pPr>
      <w:proofErr w:type="gramStart"/>
      <w:r w:rsidRPr="00057915">
        <w:rPr>
          <w:rFonts w:ascii="PT Astra Serif" w:hAnsi="PT Astra Serif"/>
          <w:sz w:val="24"/>
          <w:szCs w:val="24"/>
        </w:rPr>
        <w:t>-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roofErr w:type="gramEnd"/>
    </w:p>
    <w:p w:rsidR="00057915" w:rsidRPr="00057915" w:rsidRDefault="00057915" w:rsidP="00057915">
      <w:pPr>
        <w:spacing w:after="0" w:line="240" w:lineRule="auto"/>
        <w:rPr>
          <w:rFonts w:ascii="PT Astra Serif" w:hAnsi="PT Astra Serif"/>
          <w:sz w:val="24"/>
          <w:szCs w:val="24"/>
        </w:rPr>
      </w:pPr>
      <w:proofErr w:type="gramStart"/>
      <w:r w:rsidRPr="00057915">
        <w:rPr>
          <w:rFonts w:ascii="PT Astra Serif" w:hAnsi="PT Astra Serif"/>
          <w:sz w:val="24"/>
          <w:szCs w:val="24"/>
        </w:rPr>
        <w:t>-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proofErr w:type="gramEnd"/>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декларация о соответствии участника закупки требованиям, установленным пунктами 3 - 5, 7 - 11 части 1 статьи 31 Закона о контрактной системе;</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057915">
        <w:rPr>
          <w:rFonts w:ascii="PT Astra Serif" w:hAnsi="PT Astra Serif"/>
          <w:sz w:val="24"/>
          <w:szCs w:val="24"/>
        </w:rPr>
        <w:t>дств в к</w:t>
      </w:r>
      <w:proofErr w:type="gramEnd"/>
      <w:r w:rsidRPr="00057915">
        <w:rPr>
          <w:rFonts w:ascii="PT Astra Serif" w:hAnsi="PT Astra Serif"/>
          <w:sz w:val="24"/>
          <w:szCs w:val="24"/>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2. Предложение участника закупки в отношении объекта закупки:</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с учетом положений части 2 статьи 43 Закона о контрактной системе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Закона о контрактной системе, товарный знак (при наличии у товара товарного знака);</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p w:rsidR="00057915" w:rsidRPr="00057915" w:rsidRDefault="00057915" w:rsidP="00057915">
      <w:pPr>
        <w:spacing w:after="0" w:line="240" w:lineRule="auto"/>
        <w:rPr>
          <w:rFonts w:ascii="PT Astra Serif" w:hAnsi="PT Astra Serif"/>
          <w:sz w:val="24"/>
          <w:szCs w:val="24"/>
        </w:rPr>
      </w:pPr>
      <w:proofErr w:type="gramStart"/>
      <w:r w:rsidRPr="00057915">
        <w:rPr>
          <w:rFonts w:ascii="PT Astra Serif" w:hAnsi="PT Astra Serif"/>
          <w:sz w:val="24"/>
          <w:szCs w:val="24"/>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w:t>
      </w:r>
      <w:proofErr w:type="gramEnd"/>
      <w:r w:rsidRPr="00057915">
        <w:rPr>
          <w:rFonts w:ascii="PT Astra Serif" w:hAnsi="PT Astra Serif"/>
          <w:sz w:val="24"/>
          <w:szCs w:val="24"/>
        </w:rPr>
        <w:t xml:space="preserve">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057915" w:rsidRPr="00057915" w:rsidRDefault="00057915" w:rsidP="00057915">
      <w:pPr>
        <w:spacing w:after="0" w:line="240" w:lineRule="auto"/>
        <w:rPr>
          <w:rFonts w:ascii="PT Astra Serif" w:hAnsi="PT Astra Serif"/>
          <w:sz w:val="24"/>
          <w:szCs w:val="24"/>
        </w:rPr>
      </w:pPr>
      <w:proofErr w:type="gramStart"/>
      <w:r w:rsidRPr="00057915">
        <w:rPr>
          <w:rFonts w:ascii="PT Astra Serif" w:hAnsi="PT Astra Serif"/>
          <w:sz w:val="24"/>
          <w:szCs w:val="24"/>
        </w:rPr>
        <w:lastRenderedPageBreak/>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статьей запреты, ограничения, условия допуска).</w:t>
      </w:r>
      <w:proofErr w:type="gramEnd"/>
      <w:r w:rsidRPr="00057915">
        <w:rPr>
          <w:rFonts w:ascii="PT Astra Serif" w:hAnsi="PT Astra Serif"/>
          <w:sz w:val="24"/>
          <w:szCs w:val="24"/>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2. предложение участника закупки в отношении объекта закупки:</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с учетом положений части 2 статьи 43 Закона о контрактной системе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Закона о контрактной системе, товарный знак (при наличии у товара товарного знака);</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p w:rsidR="00057915" w:rsidRPr="00057915" w:rsidRDefault="00057915" w:rsidP="00057915">
      <w:pPr>
        <w:spacing w:after="0" w:line="240" w:lineRule="auto"/>
        <w:rPr>
          <w:rFonts w:ascii="PT Astra Serif" w:hAnsi="PT Astra Serif"/>
          <w:sz w:val="24"/>
          <w:szCs w:val="24"/>
        </w:rPr>
      </w:pPr>
      <w:proofErr w:type="gramStart"/>
      <w:r w:rsidRPr="00057915">
        <w:rPr>
          <w:rFonts w:ascii="PT Astra Serif" w:hAnsi="PT Astra Serif"/>
          <w:sz w:val="24"/>
          <w:szCs w:val="24"/>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w:t>
      </w:r>
      <w:proofErr w:type="gramEnd"/>
      <w:r w:rsidRPr="00057915">
        <w:rPr>
          <w:rFonts w:ascii="PT Astra Serif" w:hAnsi="PT Astra Serif"/>
          <w:sz w:val="24"/>
          <w:szCs w:val="24"/>
        </w:rPr>
        <w:t xml:space="preserve">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предложение участника закупки о цене контракта (за исключением случая, предусмотренного пунктом 4 части 1 статьи 43 Закона о контрактной системе);</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предложение участника закупки о сумме цен единиц товара, работы, услуги (в случае, предусмотренном частью 24 статьи 22 Закона о контрактной системе);</w:t>
      </w:r>
    </w:p>
    <w:p w:rsidR="00057915" w:rsidRPr="00057915" w:rsidRDefault="00057915" w:rsidP="00057915">
      <w:pPr>
        <w:spacing w:after="0" w:line="240" w:lineRule="auto"/>
        <w:rPr>
          <w:rFonts w:ascii="PT Astra Serif" w:hAnsi="PT Astra Serif"/>
          <w:sz w:val="24"/>
          <w:szCs w:val="24"/>
        </w:rPr>
      </w:pPr>
      <w:proofErr w:type="gramStart"/>
      <w:r w:rsidRPr="00057915">
        <w:rPr>
          <w:rFonts w:ascii="PT Astra Serif" w:hAnsi="PT Astra Serif"/>
          <w:sz w:val="24"/>
          <w:szCs w:val="24"/>
        </w:rPr>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Закона о контрактной системе предусмотрена документация о закупке) установлены предусмотренные указанной статьей запреты, ограничения, условия допуска).</w:t>
      </w:r>
      <w:proofErr w:type="gramEnd"/>
      <w:r w:rsidRPr="00057915">
        <w:rPr>
          <w:rFonts w:ascii="PT Astra Serif" w:hAnsi="PT Astra Serif"/>
          <w:sz w:val="24"/>
          <w:szCs w:val="24"/>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xml:space="preserve">-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При формировании предложения участника закупки в отношении объекта закупки:</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xml:space="preserve">1. Информация о товаре, предусмотренная подпунктами «а» и «б» пункта 2 части 1 статьи 43 Закона о контрактной системе,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roofErr w:type="gramStart"/>
      <w:r w:rsidRPr="00057915">
        <w:rPr>
          <w:rFonts w:ascii="PT Astra Serif" w:hAnsi="PT Astra Serif"/>
          <w:sz w:val="24"/>
          <w:szCs w:val="24"/>
        </w:rPr>
        <w:t>Информация, предусмотренная подпунктом «а» пункта 2 части 1 статьи 43 Закона о контрактной системе,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roofErr w:type="gramEnd"/>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lastRenderedPageBreak/>
        <w:t xml:space="preserve">2. </w:t>
      </w:r>
      <w:proofErr w:type="gramStart"/>
      <w:r w:rsidRPr="00057915">
        <w:rPr>
          <w:rFonts w:ascii="PT Astra Serif" w:hAnsi="PT Astra Serif"/>
          <w:sz w:val="24"/>
          <w:szCs w:val="24"/>
        </w:rPr>
        <w:t>Информация, предусмотренная подпунктами «а» и «г» пункта 2 части 1 статьи 43 Закона о контрактной системе, не включается в заявку на участие в закупке в случае включения заказчиком в соответствии с пунктом 8 части 1 статьи 33 Закона о контрактной системе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roofErr w:type="gramEnd"/>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xml:space="preserve">3.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w:t>
      </w:r>
      <w:proofErr w:type="gramStart"/>
      <w:r w:rsidRPr="00057915">
        <w:rPr>
          <w:rFonts w:ascii="PT Astra Serif" w:hAnsi="PT Astra Serif"/>
          <w:sz w:val="24"/>
          <w:szCs w:val="24"/>
        </w:rPr>
        <w:t>окончания</w:t>
      </w:r>
      <w:proofErr w:type="gramEnd"/>
      <w:r w:rsidRPr="00057915">
        <w:rPr>
          <w:rFonts w:ascii="PT Astra Serif" w:hAnsi="PT Astra Serif"/>
          <w:sz w:val="24"/>
          <w:szCs w:val="24"/>
        </w:rPr>
        <w:t xml:space="preserve"> установленного в соответствии с Закона о контрактной системе срока подачи заявок на участие в закупке.</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xml:space="preserve">4. </w:t>
      </w:r>
      <w:proofErr w:type="gramStart"/>
      <w:r w:rsidRPr="00057915">
        <w:rPr>
          <w:rFonts w:ascii="PT Astra Serif" w:hAnsi="PT Astra Serif"/>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Закона о контрактной системе предусмотрена документация о закупке), и в соответствии с заявкой такого участника закупки на участие в закупке.</w:t>
      </w:r>
      <w:proofErr w:type="gramEnd"/>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5. При проведении электронных процедур, закрытых электронных процедур:</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Законом о контрактной системе оператору электронной площадки, оператору специализированной электронной площадки;</w:t>
      </w:r>
    </w:p>
    <w:p w:rsidR="00057915" w:rsidRPr="00057915" w:rsidRDefault="00057915" w:rsidP="00057915">
      <w:pPr>
        <w:spacing w:after="0" w:line="240" w:lineRule="auto"/>
        <w:rPr>
          <w:rFonts w:ascii="PT Astra Serif" w:hAnsi="PT Astra Serif"/>
          <w:sz w:val="24"/>
          <w:szCs w:val="24"/>
        </w:rPr>
      </w:pPr>
      <w:proofErr w:type="gramStart"/>
      <w:r w:rsidRPr="00057915">
        <w:rPr>
          <w:rFonts w:ascii="PT Astra Serif" w:hAnsi="PT Astra Serif"/>
          <w:sz w:val="24"/>
          <w:szCs w:val="24"/>
        </w:rPr>
        <w:t>2)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Закона о контрактной системе, и предусмотренные подпунктом «н» пункта 1 части 1 статьи 43 Закона о контрактной системе, не включаются участником закупки в заявку на участие в закупке.</w:t>
      </w:r>
      <w:proofErr w:type="gramEnd"/>
      <w:r w:rsidRPr="00057915">
        <w:rPr>
          <w:rFonts w:ascii="PT Astra Serif" w:hAnsi="PT Astra Serif"/>
          <w:sz w:val="24"/>
          <w:szCs w:val="24"/>
        </w:rPr>
        <w:t xml:space="preserve"> Такие документы в случаях, предусмотренных Закона о контрактной системе,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057915" w:rsidRPr="00057915" w:rsidRDefault="00057915" w:rsidP="00057915">
      <w:pPr>
        <w:spacing w:after="0" w:line="240" w:lineRule="auto"/>
        <w:rPr>
          <w:rFonts w:ascii="PT Astra Serif" w:hAnsi="PT Astra Serif"/>
          <w:sz w:val="24"/>
          <w:szCs w:val="24"/>
        </w:rPr>
      </w:pPr>
    </w:p>
    <w:p w:rsidR="00057915" w:rsidRPr="00057915" w:rsidRDefault="00057915" w:rsidP="00057915">
      <w:pPr>
        <w:spacing w:after="0" w:line="240" w:lineRule="auto"/>
        <w:rPr>
          <w:rFonts w:ascii="PT Astra Serif" w:hAnsi="PT Astra Serif"/>
          <w:sz w:val="24"/>
          <w:szCs w:val="24"/>
        </w:rPr>
      </w:pP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ИНСТРУКЦИЯ</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по заполнению заявки на участие в закупке</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1. Заявка на участие в закупке, подготовленная участником закупки, должна быть составлена на русском языке.</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2. 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3. Все документы, входящие в состав заявки на участие в закупке, должны иметь четко читаемый текст. Сведения, содержащиеся в заявке на участие в закупке, не должны допускать двусмысленных толкований.</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4. Участник закупки представляет в любой удобной форме или по форме, рекомендуемой заказчиком, информацию о характеристиках предлагаемого участником закупки товара, соответствующих значениям, установленным Приложением № 1 к извещению о проведении закупки, а также товарный знак (при наличии у товара товарного знака).</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5. При подготовке заявки участник закупки должен исходить из того, что он готовит свое предложение с учетом требований к техническим характеристикам и показателям, установленным в извещении после полного изучения содержания вышеназванного извещения и всех приложений к нему.</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lastRenderedPageBreak/>
        <w:t>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Приложении № 1 к извещению о проведении закупки.</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В случае</w:t>
      </w:r>
      <w:proofErr w:type="gramStart"/>
      <w:r w:rsidRPr="00057915">
        <w:rPr>
          <w:rFonts w:ascii="PT Astra Serif" w:hAnsi="PT Astra Serif"/>
          <w:sz w:val="24"/>
          <w:szCs w:val="24"/>
        </w:rPr>
        <w:t>,</w:t>
      </w:r>
      <w:proofErr w:type="gramEnd"/>
      <w:r w:rsidRPr="00057915">
        <w:rPr>
          <w:rFonts w:ascii="PT Astra Serif" w:hAnsi="PT Astra Serif"/>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В случае если в Приложении № 1 к извещению о проведении закупки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xml:space="preserve"> Раздел I «конкретные значения»</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xml:space="preserve">- слов «не менее», «не ниже» - участником предоставляется значение равное или превышающее указанное; </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xml:space="preserve">- слов «не более», «не выше» - участником предоставляется значение равное или менее </w:t>
      </w:r>
      <w:proofErr w:type="gramStart"/>
      <w:r w:rsidRPr="00057915">
        <w:rPr>
          <w:rFonts w:ascii="PT Astra Serif" w:hAnsi="PT Astra Serif"/>
          <w:sz w:val="24"/>
          <w:szCs w:val="24"/>
        </w:rPr>
        <w:t>указанного</w:t>
      </w:r>
      <w:proofErr w:type="gramEnd"/>
      <w:r w:rsidRPr="00057915">
        <w:rPr>
          <w:rFonts w:ascii="PT Astra Serif" w:hAnsi="PT Astra Serif"/>
          <w:sz w:val="24"/>
          <w:szCs w:val="24"/>
        </w:rPr>
        <w:t xml:space="preserve">; </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слов «менее», «ниже» - участником предоставляется значение меньше указанного;</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xml:space="preserve">- слов «более», «выше», «свыше» - участником предоставляется значение превышающее указанное; </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слов «от» - участником предоставляется указанное значение или превышающее его;</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xml:space="preserve">- слов «от… </w:t>
      </w:r>
      <w:proofErr w:type="gramStart"/>
      <w:r w:rsidRPr="00057915">
        <w:rPr>
          <w:rFonts w:ascii="PT Astra Serif" w:hAnsi="PT Astra Serif"/>
          <w:sz w:val="24"/>
          <w:szCs w:val="24"/>
        </w:rPr>
        <w:t>до</w:t>
      </w:r>
      <w:proofErr w:type="gramEnd"/>
      <w:r w:rsidRPr="00057915">
        <w:rPr>
          <w:rFonts w:ascii="PT Astra Serif" w:hAnsi="PT Astra Serif"/>
          <w:sz w:val="24"/>
          <w:szCs w:val="24"/>
        </w:rPr>
        <w:t xml:space="preserve">…» - </w:t>
      </w:r>
      <w:proofErr w:type="gramStart"/>
      <w:r w:rsidRPr="00057915">
        <w:rPr>
          <w:rFonts w:ascii="PT Astra Serif" w:hAnsi="PT Astra Serif"/>
          <w:sz w:val="24"/>
          <w:szCs w:val="24"/>
        </w:rPr>
        <w:t>участником</w:t>
      </w:r>
      <w:proofErr w:type="gramEnd"/>
      <w:r w:rsidRPr="00057915">
        <w:rPr>
          <w:rFonts w:ascii="PT Astra Serif" w:hAnsi="PT Astra Serif"/>
          <w:sz w:val="24"/>
          <w:szCs w:val="24"/>
        </w:rPr>
        <w:t xml:space="preserve"> предоставляется одно конкретное значение в рамках значений;</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со знаком «+/</w:t>
      </w:r>
      <w:proofErr w:type="gramStart"/>
      <w:r w:rsidRPr="00057915">
        <w:rPr>
          <w:rFonts w:ascii="PT Astra Serif" w:hAnsi="PT Astra Serif"/>
          <w:sz w:val="24"/>
          <w:szCs w:val="24"/>
        </w:rPr>
        <w:t>-»</w:t>
      </w:r>
      <w:proofErr w:type="gramEnd"/>
      <w:r w:rsidRPr="00057915">
        <w:rPr>
          <w:rFonts w:ascii="PT Astra Serif" w:hAnsi="PT Astra Serif"/>
          <w:sz w:val="24"/>
          <w:szCs w:val="24"/>
        </w:rPr>
        <w:t xml:space="preserve"> (например - погрешность) - участником предоставляется конкретное  значение с указанием знака «+/-»;</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знака «</w:t>
      </w:r>
      <w:proofErr w:type="gramStart"/>
      <w:r w:rsidRPr="00057915">
        <w:rPr>
          <w:rFonts w:ascii="PT Astra Serif" w:hAnsi="PT Astra Serif"/>
          <w:sz w:val="24"/>
          <w:szCs w:val="24"/>
        </w:rPr>
        <w:t>-»</w:t>
      </w:r>
      <w:proofErr w:type="gramEnd"/>
      <w:r w:rsidRPr="00057915">
        <w:rPr>
          <w:rFonts w:ascii="PT Astra Serif" w:hAnsi="PT Astra Serif"/>
          <w:sz w:val="24"/>
          <w:szCs w:val="24"/>
        </w:rPr>
        <w:t xml:space="preserve"> - участником предоставляется конкретное  значение в рамках значений; </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xml:space="preserve">- знака «&gt;» - участником предоставляется конкретное  значение превышающее указанное, «&gt;=» - равное или превышающее указанное; </w:t>
      </w:r>
    </w:p>
    <w:p w:rsidR="00057915" w:rsidRPr="00057915" w:rsidRDefault="00057915" w:rsidP="00057915">
      <w:pPr>
        <w:spacing w:after="0" w:line="240" w:lineRule="auto"/>
        <w:rPr>
          <w:rFonts w:ascii="PT Astra Serif" w:hAnsi="PT Astra Serif"/>
          <w:sz w:val="24"/>
          <w:szCs w:val="24"/>
        </w:rPr>
      </w:pPr>
      <w:proofErr w:type="gramStart"/>
      <w:r w:rsidRPr="00057915">
        <w:rPr>
          <w:rFonts w:ascii="PT Astra Serif" w:hAnsi="PT Astra Serif"/>
          <w:sz w:val="24"/>
          <w:szCs w:val="24"/>
        </w:rPr>
        <w:t xml:space="preserve">- знака «&lt;» - участником предоставляется конкретное  значение менее указанного, «&lt;=» - равное или менее указанного; </w:t>
      </w:r>
      <w:proofErr w:type="gramEnd"/>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xml:space="preserve">- знаков «&gt;= и &lt;» - участником предоставляется конкретное  значение равное или превышающее левое значение и менее правого значения; </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xml:space="preserve">- знаков «&gt; и &lt;=» - участником предоставляется конкретное </w:t>
      </w:r>
      <w:proofErr w:type="gramStart"/>
      <w:r w:rsidRPr="00057915">
        <w:rPr>
          <w:rFonts w:ascii="PT Astra Serif" w:hAnsi="PT Astra Serif"/>
          <w:sz w:val="24"/>
          <w:szCs w:val="24"/>
        </w:rPr>
        <w:t>значение</w:t>
      </w:r>
      <w:proofErr w:type="gramEnd"/>
      <w:r w:rsidRPr="00057915">
        <w:rPr>
          <w:rFonts w:ascii="PT Astra Serif" w:hAnsi="PT Astra Serif"/>
          <w:sz w:val="24"/>
          <w:szCs w:val="24"/>
        </w:rPr>
        <w:t xml:space="preserve"> превышающее левое значение и равное или менее правого значения; </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xml:space="preserve">- знаков «&gt; и &lt;» - участником предоставляется конкретное </w:t>
      </w:r>
      <w:proofErr w:type="gramStart"/>
      <w:r w:rsidRPr="00057915">
        <w:rPr>
          <w:rFonts w:ascii="PT Astra Serif" w:hAnsi="PT Astra Serif"/>
          <w:sz w:val="24"/>
          <w:szCs w:val="24"/>
        </w:rPr>
        <w:t>значение</w:t>
      </w:r>
      <w:proofErr w:type="gramEnd"/>
      <w:r w:rsidRPr="00057915">
        <w:rPr>
          <w:rFonts w:ascii="PT Astra Serif" w:hAnsi="PT Astra Serif"/>
          <w:sz w:val="24"/>
          <w:szCs w:val="24"/>
        </w:rPr>
        <w:t xml:space="preserve"> превышающее левое значение и менее правого значения. </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xml:space="preserve"> </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В случае применение заказчиком в техническом задании перечисления значений показателя через союз «и», знаки «</w:t>
      </w:r>
      <w:proofErr w:type="gramStart"/>
      <w:r w:rsidRPr="00057915">
        <w:rPr>
          <w:rFonts w:ascii="PT Astra Serif" w:hAnsi="PT Astra Serif"/>
          <w:sz w:val="24"/>
          <w:szCs w:val="24"/>
        </w:rPr>
        <w:t>,»</w:t>
      </w:r>
      <w:proofErr w:type="gramEnd"/>
      <w:r w:rsidRPr="00057915">
        <w:rPr>
          <w:rFonts w:ascii="PT Astra Serif" w:hAnsi="PT Astra Serif"/>
          <w:sz w:val="24"/>
          <w:szCs w:val="24"/>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w:t>
      </w:r>
      <w:r w:rsidRPr="00057915">
        <w:rPr>
          <w:rFonts w:ascii="PT Astra Serif" w:hAnsi="PT Astra Serif"/>
          <w:sz w:val="24"/>
          <w:szCs w:val="24"/>
        </w:rPr>
        <w:lastRenderedPageBreak/>
        <w:t>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057915">
        <w:rPr>
          <w:rFonts w:ascii="PT Astra Serif" w:hAnsi="PT Astra Serif"/>
          <w:sz w:val="24"/>
          <w:szCs w:val="24"/>
        </w:rPr>
        <w:t>,»</w:t>
      </w:r>
      <w:proofErr w:type="gramEnd"/>
      <w:r w:rsidRPr="00057915">
        <w:rPr>
          <w:rFonts w:ascii="PT Astra Serif" w:hAnsi="PT Astra Serif"/>
          <w:sz w:val="24"/>
          <w:szCs w:val="24"/>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xml:space="preserve"> Раздел II «диапазонные значения»</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В случае</w:t>
      </w:r>
      <w:proofErr w:type="gramStart"/>
      <w:r w:rsidRPr="00057915">
        <w:rPr>
          <w:rFonts w:ascii="PT Astra Serif" w:hAnsi="PT Astra Serif"/>
          <w:sz w:val="24"/>
          <w:szCs w:val="24"/>
        </w:rPr>
        <w:t>,</w:t>
      </w:r>
      <w:proofErr w:type="gramEnd"/>
      <w:r w:rsidRPr="00057915">
        <w:rPr>
          <w:rFonts w:ascii="PT Astra Serif" w:hAnsi="PT Astra Serif"/>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В случае применения заказчиком в техническом задании при описании диапазона:</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со знаком «</w:t>
      </w:r>
      <w:proofErr w:type="gramStart"/>
      <w:r w:rsidRPr="00057915">
        <w:rPr>
          <w:rFonts w:ascii="PT Astra Serif" w:hAnsi="PT Astra Serif"/>
          <w:sz w:val="24"/>
          <w:szCs w:val="24"/>
        </w:rPr>
        <w:t>-»</w:t>
      </w:r>
      <w:proofErr w:type="gramEnd"/>
      <w:r w:rsidRPr="00057915">
        <w:rPr>
          <w:rFonts w:ascii="PT Astra Serif" w:hAnsi="PT Astra Serif"/>
          <w:sz w:val="24"/>
          <w:szCs w:val="24"/>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057915" w:rsidRPr="00057915" w:rsidRDefault="00057915" w:rsidP="00057915">
      <w:pPr>
        <w:spacing w:after="0" w:line="240" w:lineRule="auto"/>
        <w:rPr>
          <w:rFonts w:ascii="PT Astra Serif" w:hAnsi="PT Astra Serif"/>
          <w:sz w:val="24"/>
          <w:szCs w:val="24"/>
        </w:rPr>
      </w:pPr>
      <w:proofErr w:type="gramStart"/>
      <w:r w:rsidRPr="00057915">
        <w:rPr>
          <w:rFonts w:ascii="PT Astra Serif" w:hAnsi="PT Astra Serif"/>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057915">
        <w:rPr>
          <w:rFonts w:ascii="PT Astra Serif" w:hAnsi="PT Astra Serif"/>
          <w:sz w:val="24"/>
          <w:szCs w:val="24"/>
        </w:rPr>
        <w:t>-»</w:t>
      </w:r>
      <w:proofErr w:type="gramEnd"/>
      <w:r w:rsidRPr="00057915">
        <w:rPr>
          <w:rFonts w:ascii="PT Astra Serif" w:hAnsi="PT Astra Serif"/>
          <w:sz w:val="24"/>
          <w:szCs w:val="24"/>
        </w:rPr>
        <w:t>.</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 xml:space="preserve"> Раздел III «общие сведения»</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Если характеристики товара содержатся в колонке «Значения показателей, которые не могут изменяться (</w:t>
      </w:r>
      <w:proofErr w:type="gramStart"/>
      <w:r w:rsidRPr="00057915">
        <w:rPr>
          <w:rFonts w:ascii="PT Astra Serif" w:hAnsi="PT Astra Serif"/>
          <w:sz w:val="24"/>
          <w:szCs w:val="24"/>
        </w:rPr>
        <w:t>неизменяемое</w:t>
      </w:r>
      <w:proofErr w:type="gramEnd"/>
      <w:r w:rsidRPr="00057915">
        <w:rPr>
          <w:rFonts w:ascii="PT Astra Serif" w:hAnsi="PT Astra Serif"/>
          <w:sz w:val="24"/>
          <w:szCs w:val="24"/>
        </w:rPr>
        <w:t xml:space="preserve">)» – участник не вправе изменять указанные значения. </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В случае, если предложение с описанием характеристик товара сопровождается термином «значение (</w:t>
      </w:r>
      <w:proofErr w:type="spellStart"/>
      <w:r w:rsidRPr="00057915">
        <w:rPr>
          <w:rFonts w:ascii="PT Astra Serif" w:hAnsi="PT Astra Serif"/>
          <w:sz w:val="24"/>
          <w:szCs w:val="24"/>
        </w:rPr>
        <w:t>ия</w:t>
      </w:r>
      <w:proofErr w:type="spellEnd"/>
      <w:r w:rsidRPr="00057915">
        <w:rPr>
          <w:rFonts w:ascii="PT Astra Serif" w:hAnsi="PT Astra Serif"/>
          <w:sz w:val="24"/>
          <w:szCs w:val="24"/>
        </w:rPr>
        <w:t>) неизменяемое (</w:t>
      </w:r>
      <w:proofErr w:type="spellStart"/>
      <w:r w:rsidRPr="00057915">
        <w:rPr>
          <w:rFonts w:ascii="PT Astra Serif" w:hAnsi="PT Astra Serif"/>
          <w:sz w:val="24"/>
          <w:szCs w:val="24"/>
        </w:rPr>
        <w:t>ые</w:t>
      </w:r>
      <w:proofErr w:type="spellEnd"/>
      <w:r w:rsidRPr="00057915">
        <w:rPr>
          <w:rFonts w:ascii="PT Astra Serif" w:hAnsi="PT Astra Serif"/>
          <w:sz w:val="24"/>
          <w:szCs w:val="24"/>
        </w:rPr>
        <w:t>)», «неизменяемое (</w:t>
      </w:r>
      <w:proofErr w:type="spellStart"/>
      <w:r w:rsidRPr="00057915">
        <w:rPr>
          <w:rFonts w:ascii="PT Astra Serif" w:hAnsi="PT Astra Serif"/>
          <w:sz w:val="24"/>
          <w:szCs w:val="24"/>
        </w:rPr>
        <w:t>ые</w:t>
      </w:r>
      <w:proofErr w:type="spellEnd"/>
      <w:r w:rsidRPr="00057915">
        <w:rPr>
          <w:rFonts w:ascii="PT Astra Serif" w:hAnsi="PT Astra Serif"/>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57915">
        <w:rPr>
          <w:rFonts w:ascii="PT Astra Serif" w:hAnsi="PT Astra Serif"/>
          <w:sz w:val="24"/>
          <w:szCs w:val="24"/>
        </w:rPr>
        <w:t>е(</w:t>
      </w:r>
      <w:proofErr w:type="spellStart"/>
      <w:proofErr w:type="gramEnd"/>
      <w:r w:rsidRPr="00057915">
        <w:rPr>
          <w:rFonts w:ascii="PT Astra Serif" w:hAnsi="PT Astra Serif"/>
          <w:sz w:val="24"/>
          <w:szCs w:val="24"/>
        </w:rPr>
        <w:t>ия</w:t>
      </w:r>
      <w:proofErr w:type="spellEnd"/>
      <w:r w:rsidRPr="00057915">
        <w:rPr>
          <w:rFonts w:ascii="PT Astra Serif" w:hAnsi="PT Astra Serif"/>
          <w:sz w:val="24"/>
          <w:szCs w:val="24"/>
        </w:rPr>
        <w:t>) неизменяемое (</w:t>
      </w:r>
      <w:proofErr w:type="spellStart"/>
      <w:r w:rsidRPr="00057915">
        <w:rPr>
          <w:rFonts w:ascii="PT Astra Serif" w:hAnsi="PT Astra Serif"/>
          <w:sz w:val="24"/>
          <w:szCs w:val="24"/>
        </w:rPr>
        <w:t>ые</w:t>
      </w:r>
      <w:proofErr w:type="spellEnd"/>
      <w:r w:rsidRPr="00057915">
        <w:rPr>
          <w:rFonts w:ascii="PT Astra Serif" w:hAnsi="PT Astra Serif"/>
          <w:sz w:val="24"/>
          <w:szCs w:val="24"/>
        </w:rPr>
        <w:t>)», «неизменяемое (</w:t>
      </w:r>
      <w:proofErr w:type="spellStart"/>
      <w:r w:rsidRPr="00057915">
        <w:rPr>
          <w:rFonts w:ascii="PT Astra Serif" w:hAnsi="PT Astra Serif"/>
          <w:sz w:val="24"/>
          <w:szCs w:val="24"/>
        </w:rPr>
        <w:t>ые</w:t>
      </w:r>
      <w:proofErr w:type="spellEnd"/>
      <w:r w:rsidRPr="00057915">
        <w:rPr>
          <w:rFonts w:ascii="PT Astra Serif" w:hAnsi="PT Astra Serif"/>
          <w:sz w:val="24"/>
          <w:szCs w:val="24"/>
        </w:rPr>
        <w:t>)» включительно.</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57915">
        <w:rPr>
          <w:rFonts w:ascii="PT Astra Serif" w:hAnsi="PT Astra Serif"/>
          <w:sz w:val="24"/>
          <w:szCs w:val="24"/>
        </w:rPr>
        <w:t>.»</w:t>
      </w:r>
      <w:proofErr w:type="gramEnd"/>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В случае указания в Приложении № 1 к извещению о проведении закупки конкретного значения показателя, участнику необходимо предоставить значение такого показателя.</w:t>
      </w:r>
    </w:p>
    <w:p w:rsidR="00057915"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Например: требования технического задания – «Шкаф металлический» участник в своей заявке должен указать: «Шкаф металлический».</w:t>
      </w:r>
    </w:p>
    <w:p w:rsidR="00057915" w:rsidRPr="00057915" w:rsidRDefault="00057915" w:rsidP="00057915">
      <w:pPr>
        <w:spacing w:after="0" w:line="240" w:lineRule="auto"/>
        <w:rPr>
          <w:rFonts w:ascii="PT Astra Serif" w:hAnsi="PT Astra Serif"/>
          <w:sz w:val="24"/>
          <w:szCs w:val="24"/>
        </w:rPr>
      </w:pPr>
      <w:proofErr w:type="gramStart"/>
      <w:r w:rsidRPr="00057915">
        <w:rPr>
          <w:rFonts w:ascii="PT Astra Serif" w:hAnsi="PT Astra Serif"/>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57915">
        <w:rPr>
          <w:rFonts w:ascii="PT Astra Serif" w:hAnsi="PT Astra Serif"/>
          <w:sz w:val="24"/>
          <w:szCs w:val="24"/>
        </w:rPr>
        <w:t xml:space="preserve">»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w:t>
      </w:r>
      <w:r w:rsidRPr="00057915">
        <w:rPr>
          <w:rFonts w:ascii="PT Astra Serif" w:hAnsi="PT Astra Serif"/>
          <w:sz w:val="24"/>
          <w:szCs w:val="24"/>
        </w:rPr>
        <w:lastRenderedPageBreak/>
        <w:t>описанием характеристик товара сопровождается термином «значение (</w:t>
      </w:r>
      <w:proofErr w:type="spellStart"/>
      <w:r w:rsidRPr="00057915">
        <w:rPr>
          <w:rFonts w:ascii="PT Astra Serif" w:hAnsi="PT Astra Serif"/>
          <w:sz w:val="24"/>
          <w:szCs w:val="24"/>
        </w:rPr>
        <w:t>ия</w:t>
      </w:r>
      <w:proofErr w:type="spellEnd"/>
      <w:r w:rsidRPr="00057915">
        <w:rPr>
          <w:rFonts w:ascii="PT Astra Serif" w:hAnsi="PT Astra Serif"/>
          <w:sz w:val="24"/>
          <w:szCs w:val="24"/>
        </w:rPr>
        <w:t>) неизменяемое (</w:t>
      </w:r>
      <w:proofErr w:type="spellStart"/>
      <w:r w:rsidRPr="00057915">
        <w:rPr>
          <w:rFonts w:ascii="PT Astra Serif" w:hAnsi="PT Astra Serif"/>
          <w:sz w:val="24"/>
          <w:szCs w:val="24"/>
        </w:rPr>
        <w:t>ые</w:t>
      </w:r>
      <w:proofErr w:type="spellEnd"/>
      <w:r w:rsidRPr="00057915">
        <w:rPr>
          <w:rFonts w:ascii="PT Astra Serif" w:hAnsi="PT Astra Serif"/>
          <w:sz w:val="24"/>
          <w:szCs w:val="24"/>
        </w:rPr>
        <w:t>)», «неизменяемое (</w:t>
      </w:r>
      <w:proofErr w:type="spellStart"/>
      <w:r w:rsidRPr="00057915">
        <w:rPr>
          <w:rFonts w:ascii="PT Astra Serif" w:hAnsi="PT Astra Serif"/>
          <w:sz w:val="24"/>
          <w:szCs w:val="24"/>
        </w:rPr>
        <w:t>ые</w:t>
      </w:r>
      <w:proofErr w:type="spellEnd"/>
      <w:r w:rsidRPr="00057915">
        <w:rPr>
          <w:rFonts w:ascii="PT Astra Serif" w:hAnsi="PT Astra Serif"/>
          <w:sz w:val="24"/>
          <w:szCs w:val="24"/>
        </w:rPr>
        <w:t xml:space="preserve">)». </w:t>
      </w:r>
    </w:p>
    <w:p w:rsidR="00A60D26"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sectPr w:rsidR="00A60D26" w:rsidRPr="00057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D5"/>
    <w:rsid w:val="00057915"/>
    <w:rsid w:val="004F099C"/>
    <w:rsid w:val="005D52D5"/>
    <w:rsid w:val="00647F29"/>
    <w:rsid w:val="00A60D26"/>
    <w:rsid w:val="00B74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2747</Words>
  <Characters>15664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Ловыгина Наталья Борисовна</dc:creator>
  <cp:lastModifiedBy>Филиппова Марина Геннадьевна</cp:lastModifiedBy>
  <cp:revision>2</cp:revision>
  <dcterms:created xsi:type="dcterms:W3CDTF">2022-03-28T10:22:00Z</dcterms:created>
  <dcterms:modified xsi:type="dcterms:W3CDTF">2022-03-28T10:22:00Z</dcterms:modified>
</cp:coreProperties>
</file>