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11" w:rsidRPr="003C5141" w:rsidRDefault="00291C1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91C11" w:rsidRPr="003C5141" w:rsidRDefault="00291C1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91C11" w:rsidRDefault="006539A7" w:rsidP="00291C1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29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№2769-п</w:t>
      </w:r>
      <w:r w:rsidR="00A44F85" w:rsidRPr="00291C1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91C11" w:rsidRDefault="00A44F85" w:rsidP="00291C1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91C11" w:rsidRDefault="00F5265D" w:rsidP="00291C1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91C11" w:rsidRPr="00291C11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A23045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23045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>от 31</w:t>
      </w:r>
      <w:r>
        <w:rPr>
          <w:rFonts w:ascii="PT Astra Serif" w:hAnsi="PT Astra Serif"/>
          <w:sz w:val="28"/>
          <w:szCs w:val="28"/>
        </w:rPr>
        <w:t>.10.2018</w:t>
      </w:r>
      <w:r w:rsidR="00A23045">
        <w:rPr>
          <w:rFonts w:ascii="PT Astra Serif" w:hAnsi="PT Astra Serif"/>
          <w:sz w:val="28"/>
          <w:szCs w:val="28"/>
        </w:rPr>
        <w:t xml:space="preserve"> </w:t>
      </w:r>
      <w:r w:rsidRPr="00291C11">
        <w:rPr>
          <w:rFonts w:ascii="PT Astra Serif" w:hAnsi="PT Astra Serif"/>
          <w:sz w:val="28"/>
          <w:szCs w:val="28"/>
        </w:rPr>
        <w:t xml:space="preserve">№ 3006 </w:t>
      </w:r>
    </w:p>
    <w:p w:rsidR="00291C11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 xml:space="preserve">«О муниципальной </w:t>
      </w:r>
      <w:r>
        <w:rPr>
          <w:rFonts w:ascii="PT Astra Serif" w:hAnsi="PT Astra Serif"/>
          <w:sz w:val="28"/>
          <w:szCs w:val="28"/>
        </w:rPr>
        <w:t>программе</w:t>
      </w:r>
    </w:p>
    <w:p w:rsidR="00291C11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>города Югорска «Развитие жилищно-</w:t>
      </w:r>
    </w:p>
    <w:p w:rsidR="00291C11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коммунального комплекса </w:t>
      </w:r>
      <w:r w:rsidRPr="00291C11">
        <w:rPr>
          <w:rFonts w:ascii="PT Astra Serif" w:hAnsi="PT Astra Serif"/>
          <w:sz w:val="28"/>
          <w:szCs w:val="28"/>
        </w:rPr>
        <w:t>и повышени</w:t>
      </w:r>
      <w:r>
        <w:rPr>
          <w:rFonts w:ascii="PT Astra Serif" w:hAnsi="PT Astra Serif"/>
          <w:sz w:val="28"/>
          <w:szCs w:val="28"/>
        </w:rPr>
        <w:t>е</w:t>
      </w:r>
    </w:p>
    <w:p w:rsidR="00291C11" w:rsidRPr="00291C11" w:rsidRDefault="00291C11" w:rsidP="00291C11">
      <w:pPr>
        <w:spacing w:line="276" w:lineRule="auto"/>
        <w:rPr>
          <w:rFonts w:ascii="PT Astra Serif" w:hAnsi="PT Astra Serif"/>
          <w:sz w:val="28"/>
          <w:szCs w:val="28"/>
        </w:rPr>
      </w:pPr>
      <w:r w:rsidRPr="00291C11">
        <w:rPr>
          <w:rFonts w:ascii="PT Astra Serif" w:hAnsi="PT Astra Serif"/>
          <w:sz w:val="28"/>
          <w:szCs w:val="28"/>
        </w:rPr>
        <w:t>энергетической эффективности»</w:t>
      </w:r>
    </w:p>
    <w:p w:rsidR="00291C11" w:rsidRPr="00291C11" w:rsidRDefault="00291C11" w:rsidP="00291C1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291C11" w:rsidRDefault="00291C11" w:rsidP="00291C1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291C11" w:rsidRPr="00291C11" w:rsidRDefault="00291C11" w:rsidP="00291C11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291C11" w:rsidRPr="00291C11" w:rsidRDefault="00A23045" w:rsidP="00291C1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291C11" w:rsidRPr="00291C11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291C11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="00291C11" w:rsidRPr="00291C11">
        <w:rPr>
          <w:rFonts w:ascii="PT Astra Serif" w:hAnsi="PT Astra Serif"/>
          <w:bCs/>
          <w:sz w:val="28"/>
          <w:szCs w:val="28"/>
          <w:lang w:eastAsia="ru-RU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291C11" w:rsidRPr="00291C11">
        <w:rPr>
          <w:rFonts w:ascii="PT Astra Serif" w:hAnsi="PT Astra Serif"/>
          <w:sz w:val="28"/>
          <w:szCs w:val="28"/>
          <w:lang w:eastAsia="ru-RU"/>
        </w:rPr>
        <w:t>:</w:t>
      </w:r>
    </w:p>
    <w:p w:rsidR="00291C11" w:rsidRPr="00291C11" w:rsidRDefault="00291C11" w:rsidP="00291C11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291C11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 31.10.2018 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 xml:space="preserve">от 10.10.2019 № 2198, от 07.11.2019 № 2404, от 24.12.2019 № 2773, 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 xml:space="preserve">от 24.12.2019 № 2774, от 09.04.2020 № 545, от 28.07.2020 № 1014, 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>от 10.08.2020 № 1072, от 28.09.2020 № 1395, от 22.12.2020 № 1929,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 xml:space="preserve"> от 22.12.2020 № 1932, от 26.04.2021</w:t>
      </w:r>
      <w:proofErr w:type="gramEnd"/>
      <w:r w:rsidRPr="00291C11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291C11">
        <w:rPr>
          <w:rFonts w:ascii="PT Astra Serif" w:hAnsi="PT Astra Serif"/>
          <w:sz w:val="28"/>
          <w:szCs w:val="28"/>
          <w:lang w:eastAsia="ru-RU"/>
        </w:rPr>
        <w:t xml:space="preserve">604-п, от 29.06.2021 № 1177-п, 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>от 24.09.2021 № 1787-п, от 15.11.2021 № 2170-п, от 20.12.2021 № 2433-п,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291C11">
        <w:rPr>
          <w:rFonts w:ascii="PT Astra Serif" w:hAnsi="PT Astra Serif"/>
          <w:sz w:val="28"/>
          <w:szCs w:val="28"/>
          <w:lang w:eastAsia="ru-RU"/>
        </w:rPr>
        <w:t xml:space="preserve"> от 23.03.2022 № 527-п, от 20.07.2022 № 1577-п, от 10.11.2022 № 2361-п, </w:t>
      </w:r>
      <w:r w:rsidR="00A23045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291C11">
        <w:rPr>
          <w:rFonts w:ascii="PT Astra Serif" w:hAnsi="PT Astra Serif"/>
          <w:sz w:val="28"/>
          <w:szCs w:val="28"/>
          <w:lang w:eastAsia="ru-RU"/>
        </w:rPr>
        <w:t>от 14.11.2022 № 2387-п, от 20.12.2022 № 2669-п) следующие изменения:</w:t>
      </w:r>
      <w:proofErr w:type="gramEnd"/>
    </w:p>
    <w:p w:rsidR="00291C11" w:rsidRPr="00291C11" w:rsidRDefault="00291C11" w:rsidP="00291C11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lastRenderedPageBreak/>
        <w:t>В абзацах первом, пятом строки «Параметры финансового обеспечения муниципальной программы» паспорта муниц</w:t>
      </w:r>
      <w:r w:rsidR="00A23045">
        <w:rPr>
          <w:rFonts w:ascii="PT Astra Serif" w:hAnsi="PT Astra Serif"/>
          <w:sz w:val="28"/>
          <w:szCs w:val="28"/>
          <w:lang w:eastAsia="ru-RU"/>
        </w:rPr>
        <w:t>ипальной программы цифры «1 600</w:t>
      </w:r>
      <w:r w:rsidR="00A23045" w:rsidRPr="00291C11">
        <w:rPr>
          <w:rFonts w:ascii="PT Astra Serif" w:hAnsi="PT Astra Serif"/>
          <w:sz w:val="28"/>
          <w:szCs w:val="28"/>
          <w:lang w:eastAsia="ru-RU"/>
        </w:rPr>
        <w:t> </w:t>
      </w:r>
      <w:r w:rsidRPr="00291C11">
        <w:rPr>
          <w:rFonts w:ascii="PT Astra Serif" w:hAnsi="PT Astra Serif"/>
          <w:sz w:val="28"/>
          <w:szCs w:val="28"/>
          <w:lang w:eastAsia="ru-RU"/>
        </w:rPr>
        <w:t>170,00»</w:t>
      </w:r>
      <w:r w:rsidR="00A23045">
        <w:rPr>
          <w:rFonts w:ascii="PT Astra Serif" w:hAnsi="PT Astra Serif"/>
          <w:sz w:val="28"/>
          <w:szCs w:val="28"/>
          <w:lang w:eastAsia="ru-RU"/>
        </w:rPr>
        <w:t>, «165</w:t>
      </w:r>
      <w:r w:rsidR="00A23045" w:rsidRPr="00291C11">
        <w:rPr>
          <w:rFonts w:ascii="PT Astra Serif" w:hAnsi="PT Astra Serif"/>
          <w:sz w:val="28"/>
          <w:szCs w:val="28"/>
          <w:lang w:eastAsia="ru-RU"/>
        </w:rPr>
        <w:t> </w:t>
      </w:r>
      <w:r w:rsidRPr="00291C11">
        <w:rPr>
          <w:rFonts w:ascii="PT Astra Serif" w:hAnsi="PT Astra Serif"/>
          <w:sz w:val="28"/>
          <w:szCs w:val="28"/>
          <w:lang w:eastAsia="ru-RU"/>
        </w:rPr>
        <w:t>528,47» заменить цифрами «1 699 142,02», «264 500,49» соответственно.</w:t>
      </w:r>
    </w:p>
    <w:p w:rsidR="00291C11" w:rsidRPr="00291C11" w:rsidRDefault="00291C11" w:rsidP="00291C11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>Таблицу 2 изложить в новой редакции (приложение).</w:t>
      </w:r>
    </w:p>
    <w:p w:rsidR="00291C11" w:rsidRPr="00291C11" w:rsidRDefault="00291C11" w:rsidP="00291C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91C11" w:rsidRPr="00291C11" w:rsidRDefault="00291C11" w:rsidP="00291C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91C11" w:rsidRPr="00291C11" w:rsidRDefault="00291C11" w:rsidP="00291C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291C11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291C11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Р.А. Ефимова. </w:t>
      </w:r>
    </w:p>
    <w:p w:rsidR="00291C11" w:rsidRPr="00291C11" w:rsidRDefault="00291C11" w:rsidP="00291C1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91C11" w:rsidRPr="00291C11" w:rsidRDefault="00291C11" w:rsidP="00291C1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91C11" w:rsidRPr="00291C11" w:rsidRDefault="00291C11" w:rsidP="00291C11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91C11" w:rsidRPr="00723C1A" w:rsidRDefault="00F80E7C" w:rsidP="00291C11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="00291C11" w:rsidRPr="00291C11">
        <w:rPr>
          <w:rFonts w:ascii="PT Astra Serif" w:hAnsi="PT Astra Serif"/>
          <w:b/>
          <w:bCs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="00291C11" w:rsidRPr="00291C11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Югорска                                                              </w:t>
      </w:r>
      <w:r w:rsidR="00291C11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</w:t>
      </w:r>
      <w:r w:rsidR="00291C11" w:rsidRPr="00291C11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А.Ю. Харлов</w:t>
      </w:r>
    </w:p>
    <w:p w:rsidR="00291C11" w:rsidRPr="00723C1A" w:rsidRDefault="00291C11" w:rsidP="00291C11">
      <w:pPr>
        <w:numPr>
          <w:ilvl w:val="0"/>
          <w:numId w:val="1"/>
        </w:numPr>
        <w:suppressAutoHyphens w:val="0"/>
        <w:ind w:left="0" w:firstLine="0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  <w:sectPr w:rsidR="00291C11" w:rsidRPr="00723C1A" w:rsidSect="00291C11">
          <w:headerReference w:type="default" r:id="rId9"/>
          <w:pgSz w:w="11905" w:h="16837"/>
          <w:pgMar w:top="1134" w:right="799" w:bottom="1276" w:left="1560" w:header="567" w:footer="720" w:gutter="0"/>
          <w:cols w:space="720"/>
          <w:noEndnote/>
          <w:titlePg/>
          <w:docGrid w:linePitch="272"/>
        </w:sectPr>
      </w:pPr>
    </w:p>
    <w:p w:rsidR="00291C11" w:rsidRPr="00291C11" w:rsidRDefault="00291C11" w:rsidP="00291C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91C11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291C11" w:rsidRPr="00291C11" w:rsidRDefault="00291C11" w:rsidP="00291C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91C11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291C11" w:rsidRPr="00291C11" w:rsidRDefault="00291C11" w:rsidP="00291C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  <w:r w:rsidRPr="00291C11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291C11" w:rsidRPr="00291C11" w:rsidRDefault="006539A7" w:rsidP="00291C11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29 декабря 2022 года № 2769-п</w:t>
      </w:r>
    </w:p>
    <w:p w:rsidR="00291C11" w:rsidRDefault="00291C11" w:rsidP="00C722B0">
      <w:pPr>
        <w:suppressAutoHyphens w:val="0"/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C722B0" w:rsidRPr="00291C11" w:rsidRDefault="00C722B0" w:rsidP="00C722B0">
      <w:pPr>
        <w:suppressAutoHyphens w:val="0"/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291C11" w:rsidRPr="00291C11" w:rsidRDefault="00291C11" w:rsidP="00291C11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291C11" w:rsidRPr="00291C11" w:rsidRDefault="00291C11" w:rsidP="00291C1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291C11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291C11" w:rsidRPr="00291C11" w:rsidRDefault="00291C11" w:rsidP="00291C1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1141"/>
        <w:gridCol w:w="1584"/>
        <w:gridCol w:w="1441"/>
        <w:gridCol w:w="1392"/>
        <w:gridCol w:w="1111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 w:rsidR="00291C11" w:rsidRPr="00291C11" w:rsidTr="00291C11">
        <w:trPr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91C11" w:rsidRPr="00291C11" w:rsidTr="00291C11">
        <w:trPr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291C11" w:rsidRPr="00291C11" w:rsidTr="00291C11">
        <w:trPr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291C11" w:rsidRPr="00291C11" w:rsidTr="00291C11">
        <w:trPr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385 620,27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25 634,94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34 809,65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254 337,40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8 444,70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28 823,20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66 348,00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131 282,87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17 190,24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5 986,45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49 637,00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Строительство объектов инженерной инфраструктуры на территориях, предназначенных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для жилищного строительства (2,3)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88 068,10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34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3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A23045">
        <w:trPr>
          <w:trHeight w:val="5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6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6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Предоставление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субсидий организациям жилищно-коммунального комплекса (6)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551 241,84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156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278,50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69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843,77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120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034,47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195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622,60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615,10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366 300,30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7 071,00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184 941,54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C722B0">
        <w:trPr>
          <w:trHeight w:val="45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45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</w:p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495 120,77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291C11" w:rsidRPr="00291C11" w:rsidTr="00A23045">
        <w:trPr>
          <w:trHeight w:val="5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13,00</w:t>
            </w:r>
          </w:p>
        </w:tc>
      </w:tr>
      <w:tr w:rsidR="00291C11" w:rsidRPr="00291C11" w:rsidTr="00A23045">
        <w:trPr>
          <w:trHeight w:val="56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495 092,17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205 000,00</w:t>
            </w:r>
          </w:p>
        </w:tc>
      </w:tr>
      <w:tr w:rsidR="00291C11" w:rsidRPr="00291C11" w:rsidTr="00A23045">
        <w:trPr>
          <w:trHeight w:val="54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3 950,21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291C11" w:rsidRPr="00291C11" w:rsidTr="00A23045">
        <w:trPr>
          <w:trHeight w:val="41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6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4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3 950,21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650,00</w:t>
            </w:r>
          </w:p>
        </w:tc>
      </w:tr>
      <w:tr w:rsidR="00291C11" w:rsidRPr="00291C11" w:rsidTr="00A23045">
        <w:trPr>
          <w:trHeight w:val="44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39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1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4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C722B0">
        <w:trPr>
          <w:trHeight w:val="31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8 267,27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291C11" w:rsidRPr="00291C11" w:rsidTr="00A23045">
        <w:trPr>
          <w:trHeight w:val="4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8 267,27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291C11" w:rsidRPr="00291C11" w:rsidTr="00A23045">
        <w:trPr>
          <w:trHeight w:val="5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30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Приведение в технически исправное состояние жилых домов,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использовавшихся до 01.01.2012 в качестве общежитий (9)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2 524,06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91C11" w:rsidRPr="00291C11" w:rsidTr="00A23045">
        <w:trPr>
          <w:trHeight w:val="4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6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2 524,06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</w:tr>
      <w:tr w:rsidR="00291C11" w:rsidRPr="00291C11" w:rsidTr="00A23045">
        <w:trPr>
          <w:trHeight w:val="50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28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91C11" w:rsidRPr="00291C11" w:rsidTr="00A23045">
        <w:trPr>
          <w:trHeight w:val="54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2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100,00</w:t>
            </w:r>
          </w:p>
        </w:tc>
      </w:tr>
      <w:tr w:rsidR="00291C11" w:rsidRPr="00291C11" w:rsidTr="00A23045">
        <w:trPr>
          <w:trHeight w:val="5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34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61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60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1 699 142,02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291C11" w:rsidRPr="00291C11" w:rsidTr="00A23045">
        <w:trPr>
          <w:trHeight w:val="45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793 123,30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894 018,72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291C11" w:rsidRPr="00291C11" w:rsidTr="00A23045">
        <w:trPr>
          <w:trHeight w:val="47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236 931,33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5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74 664,13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1 462 210,69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57 702,64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291C11" w:rsidRPr="00291C11" w:rsidTr="00A23045">
        <w:trPr>
          <w:trHeight w:val="5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630 856,10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819 354,59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47 140,24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291C11" w:rsidRPr="00291C11" w:rsidTr="00A23045">
        <w:trPr>
          <w:trHeight w:val="4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1C11" w:rsidRPr="00291C11" w:rsidTr="00A23045">
        <w:trPr>
          <w:trHeight w:val="37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54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2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41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1 598 094,53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291C11" w:rsidRPr="00291C11" w:rsidTr="00A23045">
        <w:trPr>
          <w:trHeight w:val="4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708 734,40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877 360,13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291C11" w:rsidRPr="00291C11" w:rsidTr="00A23045">
        <w:trPr>
          <w:trHeight w:val="47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Департамент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1 204 021,25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367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535,33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174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264,04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207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100,54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222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432,25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29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500,04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38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699,65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27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183,40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 xml:space="preserve">137 </w:t>
            </w: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lastRenderedPageBreak/>
              <w:t>306,00</w:t>
            </w:r>
          </w:p>
        </w:tc>
      </w:tr>
      <w:tr w:rsidR="00291C11" w:rsidRPr="00291C11" w:rsidTr="00A23045">
        <w:trPr>
          <w:trHeight w:val="4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70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793 094,70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9 059,80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29 463,20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291C11" w:rsidRPr="00291C11" w:rsidTr="00A23045">
        <w:trPr>
          <w:trHeight w:val="55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398 926,55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18 940,24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7 736,45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291C11" w:rsidRPr="00291C11" w:rsidTr="00A23045">
        <w:trPr>
          <w:trHeight w:val="56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91C11" w:rsidRPr="00291C11" w:rsidTr="00291C11"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495 120,77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291C11" w:rsidRPr="00291C11" w:rsidTr="00A23045">
        <w:trPr>
          <w:trHeight w:val="5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291C11" w:rsidRPr="00291C11" w:rsidTr="00A23045">
        <w:trPr>
          <w:trHeight w:val="70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291C11" w:rsidRPr="00291C11" w:rsidTr="00A23045">
        <w:trPr>
          <w:trHeight w:val="5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495 092,17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291C11" w:rsidRPr="00291C11" w:rsidTr="00A23045">
        <w:trPr>
          <w:trHeight w:val="55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11" w:rsidRPr="00291C11" w:rsidRDefault="00291C11" w:rsidP="00291C11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11" w:rsidRPr="00291C11" w:rsidRDefault="00291C11" w:rsidP="00291C11">
            <w:pPr>
              <w:suppressAutoHyphens w:val="0"/>
              <w:jc w:val="center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291C11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A44F85" w:rsidRPr="00C722B0" w:rsidRDefault="00A44F85" w:rsidP="005371D9">
      <w:pPr>
        <w:rPr>
          <w:rFonts w:ascii="PT Astra Serif" w:hAnsi="PT Astra Serif"/>
          <w:sz w:val="22"/>
          <w:szCs w:val="26"/>
        </w:rPr>
      </w:pPr>
    </w:p>
    <w:sectPr w:rsidR="00A44F85" w:rsidRPr="00C722B0" w:rsidSect="004F61A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11" w:rsidRDefault="00291C11" w:rsidP="003C5141">
      <w:r>
        <w:separator/>
      </w:r>
    </w:p>
  </w:endnote>
  <w:endnote w:type="continuationSeparator" w:id="0">
    <w:p w:rsidR="00291C11" w:rsidRDefault="00291C1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11" w:rsidRDefault="00291C11" w:rsidP="003C5141">
      <w:r>
        <w:separator/>
      </w:r>
    </w:p>
  </w:footnote>
  <w:footnote w:type="continuationSeparator" w:id="0">
    <w:p w:rsidR="00291C11" w:rsidRDefault="00291C1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546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291C11" w:rsidRPr="00291C11" w:rsidRDefault="00291C11" w:rsidP="00291C11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91C11">
          <w:rPr>
            <w:rFonts w:ascii="PT Astra Serif" w:hAnsi="PT Astra Serif"/>
            <w:sz w:val="22"/>
            <w:szCs w:val="22"/>
          </w:rPr>
          <w:fldChar w:fldCharType="begin"/>
        </w:r>
        <w:r w:rsidRPr="00291C11">
          <w:rPr>
            <w:rFonts w:ascii="PT Astra Serif" w:hAnsi="PT Astra Serif"/>
            <w:sz w:val="22"/>
            <w:szCs w:val="22"/>
          </w:rPr>
          <w:instrText>PAGE   \* MERGEFORMAT</w:instrText>
        </w:r>
        <w:r w:rsidRPr="00291C11">
          <w:rPr>
            <w:rFonts w:ascii="PT Astra Serif" w:hAnsi="PT Astra Serif"/>
            <w:sz w:val="22"/>
            <w:szCs w:val="22"/>
          </w:rPr>
          <w:fldChar w:fldCharType="separate"/>
        </w:r>
        <w:r w:rsidR="004F61AB">
          <w:rPr>
            <w:rFonts w:ascii="PT Astra Serif" w:hAnsi="PT Astra Serif"/>
            <w:noProof/>
            <w:sz w:val="22"/>
            <w:szCs w:val="22"/>
          </w:rPr>
          <w:t>3</w:t>
        </w:r>
        <w:r w:rsidRPr="00291C1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1C1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4F61AB"/>
    <w:rsid w:val="00510950"/>
    <w:rsid w:val="0053339B"/>
    <w:rsid w:val="005371D9"/>
    <w:rsid w:val="00576EF8"/>
    <w:rsid w:val="00624190"/>
    <w:rsid w:val="0065328E"/>
    <w:rsid w:val="006539A7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23045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2B0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80E7C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1C11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C11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C11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91C11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91C11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91C11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91C11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91C11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291C11"/>
  </w:style>
  <w:style w:type="character" w:customStyle="1" w:styleId="WW-Absatz-Standardschriftart">
    <w:name w:val="WW-Absatz-Standardschriftart"/>
    <w:rsid w:val="00291C11"/>
  </w:style>
  <w:style w:type="character" w:customStyle="1" w:styleId="WW-Absatz-Standardschriftart1">
    <w:name w:val="WW-Absatz-Standardschriftart1"/>
    <w:rsid w:val="00291C11"/>
  </w:style>
  <w:style w:type="character" w:customStyle="1" w:styleId="WW-Absatz-Standardschriftart11">
    <w:name w:val="WW-Absatz-Standardschriftart11"/>
    <w:rsid w:val="00291C11"/>
  </w:style>
  <w:style w:type="character" w:customStyle="1" w:styleId="WW-Absatz-Standardschriftart111">
    <w:name w:val="WW-Absatz-Standardschriftart111"/>
    <w:rsid w:val="00291C11"/>
  </w:style>
  <w:style w:type="character" w:customStyle="1" w:styleId="WW-Absatz-Standardschriftart1111">
    <w:name w:val="WW-Absatz-Standardschriftart1111"/>
    <w:rsid w:val="00291C11"/>
  </w:style>
  <w:style w:type="character" w:customStyle="1" w:styleId="WW-Absatz-Standardschriftart11111">
    <w:name w:val="WW-Absatz-Standardschriftart11111"/>
    <w:rsid w:val="00291C11"/>
  </w:style>
  <w:style w:type="character" w:customStyle="1" w:styleId="WW-Absatz-Standardschriftart111111">
    <w:name w:val="WW-Absatz-Standardschriftart111111"/>
    <w:rsid w:val="00291C11"/>
  </w:style>
  <w:style w:type="character" w:customStyle="1" w:styleId="WW-Absatz-Standardschriftart1111111">
    <w:name w:val="WW-Absatz-Standardschriftart1111111"/>
    <w:rsid w:val="00291C11"/>
  </w:style>
  <w:style w:type="character" w:customStyle="1" w:styleId="WW-Absatz-Standardschriftart11111111">
    <w:name w:val="WW-Absatz-Standardschriftart11111111"/>
    <w:rsid w:val="00291C11"/>
  </w:style>
  <w:style w:type="character" w:customStyle="1" w:styleId="WW-Absatz-Standardschriftart111111111">
    <w:name w:val="WW-Absatz-Standardschriftart111111111"/>
    <w:rsid w:val="00291C11"/>
  </w:style>
  <w:style w:type="character" w:customStyle="1" w:styleId="WW-Absatz-Standardschriftart1111111111">
    <w:name w:val="WW-Absatz-Standardschriftart1111111111"/>
    <w:rsid w:val="00291C11"/>
  </w:style>
  <w:style w:type="character" w:customStyle="1" w:styleId="WW-Absatz-Standardschriftart11111111111">
    <w:name w:val="WW-Absatz-Standardschriftart11111111111"/>
    <w:rsid w:val="00291C11"/>
  </w:style>
  <w:style w:type="character" w:customStyle="1" w:styleId="WW-Absatz-Standardschriftart111111111111">
    <w:name w:val="WW-Absatz-Standardschriftart111111111111"/>
    <w:rsid w:val="00291C11"/>
  </w:style>
  <w:style w:type="character" w:customStyle="1" w:styleId="WW-Absatz-Standardschriftart1111111111111">
    <w:name w:val="WW-Absatz-Standardschriftart1111111111111"/>
    <w:rsid w:val="00291C11"/>
  </w:style>
  <w:style w:type="character" w:customStyle="1" w:styleId="12">
    <w:name w:val="Основной шрифт абзаца1"/>
    <w:rsid w:val="00291C11"/>
  </w:style>
  <w:style w:type="character" w:customStyle="1" w:styleId="WW-Absatz-Standardschriftart11111111111111">
    <w:name w:val="WW-Absatz-Standardschriftart11111111111111"/>
    <w:rsid w:val="00291C11"/>
  </w:style>
  <w:style w:type="character" w:customStyle="1" w:styleId="WW-Absatz-Standardschriftart111111111111111">
    <w:name w:val="WW-Absatz-Standardschriftart111111111111111"/>
    <w:rsid w:val="00291C11"/>
  </w:style>
  <w:style w:type="character" w:customStyle="1" w:styleId="WW-Absatz-Standardschriftart1111111111111111">
    <w:name w:val="WW-Absatz-Standardschriftart1111111111111111"/>
    <w:rsid w:val="00291C11"/>
  </w:style>
  <w:style w:type="character" w:customStyle="1" w:styleId="WW-">
    <w:name w:val="WW-Основной шрифт абзаца"/>
    <w:rsid w:val="00291C11"/>
  </w:style>
  <w:style w:type="character" w:styleId="ac">
    <w:name w:val="Hyperlink"/>
    <w:uiPriority w:val="99"/>
    <w:semiHidden/>
    <w:rsid w:val="00291C11"/>
    <w:rPr>
      <w:color w:val="0000FF"/>
      <w:u w:val="single"/>
    </w:rPr>
  </w:style>
  <w:style w:type="character" w:styleId="ad">
    <w:name w:val="FollowedHyperlink"/>
    <w:uiPriority w:val="99"/>
    <w:semiHidden/>
    <w:rsid w:val="00291C11"/>
    <w:rPr>
      <w:color w:val="800080"/>
      <w:u w:val="single"/>
    </w:rPr>
  </w:style>
  <w:style w:type="character" w:customStyle="1" w:styleId="31">
    <w:name w:val="Основной текст 3 Знак"/>
    <w:basedOn w:val="WW-"/>
    <w:rsid w:val="00291C11"/>
  </w:style>
  <w:style w:type="character" w:customStyle="1" w:styleId="ae">
    <w:name w:val="Символ нумерации"/>
    <w:rsid w:val="00291C11"/>
  </w:style>
  <w:style w:type="paragraph" w:customStyle="1" w:styleId="af">
    <w:name w:val="Заголовок"/>
    <w:basedOn w:val="a"/>
    <w:next w:val="af0"/>
    <w:rsid w:val="00291C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291C11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291C11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291C11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291C11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291C11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291C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291C1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291C11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291C11"/>
    <w:pPr>
      <w:ind w:left="200" w:hanging="200"/>
    </w:pPr>
  </w:style>
  <w:style w:type="paragraph" w:styleId="af7">
    <w:name w:val="index heading"/>
    <w:basedOn w:val="a"/>
    <w:semiHidden/>
    <w:rsid w:val="00291C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91C11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291C11"/>
    <w:pPr>
      <w:jc w:val="both"/>
    </w:pPr>
  </w:style>
  <w:style w:type="paragraph" w:customStyle="1" w:styleId="16">
    <w:name w:val="Схема документа1"/>
    <w:basedOn w:val="a"/>
    <w:rsid w:val="00291C11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291C11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291C11"/>
  </w:style>
  <w:style w:type="paragraph" w:customStyle="1" w:styleId="af9">
    <w:name w:val="Содержимое таблицы"/>
    <w:basedOn w:val="a"/>
    <w:rsid w:val="00291C11"/>
    <w:pPr>
      <w:suppressLineNumbers/>
    </w:pPr>
  </w:style>
  <w:style w:type="paragraph" w:customStyle="1" w:styleId="afa">
    <w:name w:val="Заголовок таблицы"/>
    <w:basedOn w:val="af9"/>
    <w:rsid w:val="00291C11"/>
    <w:pPr>
      <w:jc w:val="center"/>
    </w:pPr>
    <w:rPr>
      <w:b/>
      <w:bCs/>
    </w:rPr>
  </w:style>
  <w:style w:type="table" w:styleId="afb">
    <w:name w:val="Table Grid"/>
    <w:basedOn w:val="a1"/>
    <w:rsid w:val="00291C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291C11"/>
  </w:style>
  <w:style w:type="character" w:customStyle="1" w:styleId="afd">
    <w:name w:val="Цветовое выделение"/>
    <w:uiPriority w:val="99"/>
    <w:rsid w:val="00291C11"/>
    <w:rPr>
      <w:b/>
      <w:color w:val="26282F"/>
    </w:rPr>
  </w:style>
  <w:style w:type="character" w:customStyle="1" w:styleId="afe">
    <w:name w:val="Гипертекстовая ссылка"/>
    <w:uiPriority w:val="99"/>
    <w:rsid w:val="00291C11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91C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91C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91C11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291C11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291C11"/>
  </w:style>
  <w:style w:type="paragraph" w:styleId="aff7">
    <w:name w:val="No Spacing"/>
    <w:link w:val="aff8"/>
    <w:uiPriority w:val="1"/>
    <w:qFormat/>
    <w:rsid w:val="00291C11"/>
    <w:rPr>
      <w:rFonts w:eastAsia="Times New Roman"/>
    </w:rPr>
  </w:style>
  <w:style w:type="paragraph" w:customStyle="1" w:styleId="Default">
    <w:name w:val="Default"/>
    <w:basedOn w:val="a"/>
    <w:rsid w:val="00291C11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291C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91C1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1C1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91C1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291C1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91C11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91C11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91C1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91C1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C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1C11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291C11"/>
    <w:rPr>
      <w:rFonts w:eastAsia="Times New Roman"/>
    </w:rPr>
  </w:style>
  <w:style w:type="paragraph" w:customStyle="1" w:styleId="xl99">
    <w:name w:val="xl99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291C11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291C11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291C11"/>
    <w:rPr>
      <w:vertAlign w:val="superscript"/>
    </w:rPr>
  </w:style>
  <w:style w:type="paragraph" w:customStyle="1" w:styleId="xl100">
    <w:name w:val="xl10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1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1C11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C11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C11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91C11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91C11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291C11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91C11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91C11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291C11"/>
  </w:style>
  <w:style w:type="character" w:customStyle="1" w:styleId="WW-Absatz-Standardschriftart">
    <w:name w:val="WW-Absatz-Standardschriftart"/>
    <w:rsid w:val="00291C11"/>
  </w:style>
  <w:style w:type="character" w:customStyle="1" w:styleId="WW-Absatz-Standardschriftart1">
    <w:name w:val="WW-Absatz-Standardschriftart1"/>
    <w:rsid w:val="00291C11"/>
  </w:style>
  <w:style w:type="character" w:customStyle="1" w:styleId="WW-Absatz-Standardschriftart11">
    <w:name w:val="WW-Absatz-Standardschriftart11"/>
    <w:rsid w:val="00291C11"/>
  </w:style>
  <w:style w:type="character" w:customStyle="1" w:styleId="WW-Absatz-Standardschriftart111">
    <w:name w:val="WW-Absatz-Standardschriftart111"/>
    <w:rsid w:val="00291C11"/>
  </w:style>
  <w:style w:type="character" w:customStyle="1" w:styleId="WW-Absatz-Standardschriftart1111">
    <w:name w:val="WW-Absatz-Standardschriftart1111"/>
    <w:rsid w:val="00291C11"/>
  </w:style>
  <w:style w:type="character" w:customStyle="1" w:styleId="WW-Absatz-Standardschriftart11111">
    <w:name w:val="WW-Absatz-Standardschriftart11111"/>
    <w:rsid w:val="00291C11"/>
  </w:style>
  <w:style w:type="character" w:customStyle="1" w:styleId="WW-Absatz-Standardschriftart111111">
    <w:name w:val="WW-Absatz-Standardschriftart111111"/>
    <w:rsid w:val="00291C11"/>
  </w:style>
  <w:style w:type="character" w:customStyle="1" w:styleId="WW-Absatz-Standardschriftart1111111">
    <w:name w:val="WW-Absatz-Standardschriftart1111111"/>
    <w:rsid w:val="00291C11"/>
  </w:style>
  <w:style w:type="character" w:customStyle="1" w:styleId="WW-Absatz-Standardschriftart11111111">
    <w:name w:val="WW-Absatz-Standardschriftart11111111"/>
    <w:rsid w:val="00291C11"/>
  </w:style>
  <w:style w:type="character" w:customStyle="1" w:styleId="WW-Absatz-Standardschriftart111111111">
    <w:name w:val="WW-Absatz-Standardschriftart111111111"/>
    <w:rsid w:val="00291C11"/>
  </w:style>
  <w:style w:type="character" w:customStyle="1" w:styleId="WW-Absatz-Standardschriftart1111111111">
    <w:name w:val="WW-Absatz-Standardschriftart1111111111"/>
    <w:rsid w:val="00291C11"/>
  </w:style>
  <w:style w:type="character" w:customStyle="1" w:styleId="WW-Absatz-Standardschriftart11111111111">
    <w:name w:val="WW-Absatz-Standardschriftart11111111111"/>
    <w:rsid w:val="00291C11"/>
  </w:style>
  <w:style w:type="character" w:customStyle="1" w:styleId="WW-Absatz-Standardschriftart111111111111">
    <w:name w:val="WW-Absatz-Standardschriftart111111111111"/>
    <w:rsid w:val="00291C11"/>
  </w:style>
  <w:style w:type="character" w:customStyle="1" w:styleId="WW-Absatz-Standardschriftart1111111111111">
    <w:name w:val="WW-Absatz-Standardschriftart1111111111111"/>
    <w:rsid w:val="00291C11"/>
  </w:style>
  <w:style w:type="character" w:customStyle="1" w:styleId="12">
    <w:name w:val="Основной шрифт абзаца1"/>
    <w:rsid w:val="00291C11"/>
  </w:style>
  <w:style w:type="character" w:customStyle="1" w:styleId="WW-Absatz-Standardschriftart11111111111111">
    <w:name w:val="WW-Absatz-Standardschriftart11111111111111"/>
    <w:rsid w:val="00291C11"/>
  </w:style>
  <w:style w:type="character" w:customStyle="1" w:styleId="WW-Absatz-Standardschriftart111111111111111">
    <w:name w:val="WW-Absatz-Standardschriftart111111111111111"/>
    <w:rsid w:val="00291C11"/>
  </w:style>
  <w:style w:type="character" w:customStyle="1" w:styleId="WW-Absatz-Standardschriftart1111111111111111">
    <w:name w:val="WW-Absatz-Standardschriftart1111111111111111"/>
    <w:rsid w:val="00291C11"/>
  </w:style>
  <w:style w:type="character" w:customStyle="1" w:styleId="WW-">
    <w:name w:val="WW-Основной шрифт абзаца"/>
    <w:rsid w:val="00291C11"/>
  </w:style>
  <w:style w:type="character" w:styleId="ac">
    <w:name w:val="Hyperlink"/>
    <w:uiPriority w:val="99"/>
    <w:semiHidden/>
    <w:rsid w:val="00291C11"/>
    <w:rPr>
      <w:color w:val="0000FF"/>
      <w:u w:val="single"/>
    </w:rPr>
  </w:style>
  <w:style w:type="character" w:styleId="ad">
    <w:name w:val="FollowedHyperlink"/>
    <w:uiPriority w:val="99"/>
    <w:semiHidden/>
    <w:rsid w:val="00291C11"/>
    <w:rPr>
      <w:color w:val="800080"/>
      <w:u w:val="single"/>
    </w:rPr>
  </w:style>
  <w:style w:type="character" w:customStyle="1" w:styleId="31">
    <w:name w:val="Основной текст 3 Знак"/>
    <w:basedOn w:val="WW-"/>
    <w:rsid w:val="00291C11"/>
  </w:style>
  <w:style w:type="character" w:customStyle="1" w:styleId="ae">
    <w:name w:val="Символ нумерации"/>
    <w:rsid w:val="00291C11"/>
  </w:style>
  <w:style w:type="paragraph" w:customStyle="1" w:styleId="af">
    <w:name w:val="Заголовок"/>
    <w:basedOn w:val="a"/>
    <w:next w:val="af0"/>
    <w:rsid w:val="00291C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291C11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291C11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291C11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291C11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291C11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291C1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291C11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291C11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291C11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291C11"/>
    <w:pPr>
      <w:ind w:left="200" w:hanging="200"/>
    </w:pPr>
  </w:style>
  <w:style w:type="paragraph" w:styleId="af7">
    <w:name w:val="index heading"/>
    <w:basedOn w:val="a"/>
    <w:semiHidden/>
    <w:rsid w:val="00291C11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291C11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291C11"/>
    <w:pPr>
      <w:jc w:val="both"/>
    </w:pPr>
  </w:style>
  <w:style w:type="paragraph" w:customStyle="1" w:styleId="16">
    <w:name w:val="Схема документа1"/>
    <w:basedOn w:val="a"/>
    <w:rsid w:val="00291C11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291C11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291C11"/>
  </w:style>
  <w:style w:type="paragraph" w:customStyle="1" w:styleId="af9">
    <w:name w:val="Содержимое таблицы"/>
    <w:basedOn w:val="a"/>
    <w:rsid w:val="00291C11"/>
    <w:pPr>
      <w:suppressLineNumbers/>
    </w:pPr>
  </w:style>
  <w:style w:type="paragraph" w:customStyle="1" w:styleId="afa">
    <w:name w:val="Заголовок таблицы"/>
    <w:basedOn w:val="af9"/>
    <w:rsid w:val="00291C11"/>
    <w:pPr>
      <w:jc w:val="center"/>
    </w:pPr>
    <w:rPr>
      <w:b/>
      <w:bCs/>
    </w:rPr>
  </w:style>
  <w:style w:type="table" w:styleId="afb">
    <w:name w:val="Table Grid"/>
    <w:basedOn w:val="a1"/>
    <w:rsid w:val="00291C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291C11"/>
  </w:style>
  <w:style w:type="character" w:customStyle="1" w:styleId="afd">
    <w:name w:val="Цветовое выделение"/>
    <w:uiPriority w:val="99"/>
    <w:rsid w:val="00291C11"/>
    <w:rPr>
      <w:b/>
      <w:color w:val="26282F"/>
    </w:rPr>
  </w:style>
  <w:style w:type="character" w:customStyle="1" w:styleId="afe">
    <w:name w:val="Гипертекстовая ссылка"/>
    <w:uiPriority w:val="99"/>
    <w:rsid w:val="00291C11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91C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91C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91C11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291C11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291C1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291C11"/>
  </w:style>
  <w:style w:type="paragraph" w:styleId="aff7">
    <w:name w:val="No Spacing"/>
    <w:link w:val="aff8"/>
    <w:uiPriority w:val="1"/>
    <w:qFormat/>
    <w:rsid w:val="00291C11"/>
    <w:rPr>
      <w:rFonts w:eastAsia="Times New Roman"/>
    </w:rPr>
  </w:style>
  <w:style w:type="paragraph" w:customStyle="1" w:styleId="Default">
    <w:name w:val="Default"/>
    <w:basedOn w:val="a"/>
    <w:rsid w:val="00291C11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291C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291C1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1C1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291C1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291C1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91C11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91C11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291C1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91C11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91C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1C11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291C11"/>
    <w:rPr>
      <w:rFonts w:eastAsia="Times New Roman"/>
    </w:rPr>
  </w:style>
  <w:style w:type="paragraph" w:customStyle="1" w:styleId="xl99">
    <w:name w:val="xl99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291C11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291C11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291C11"/>
    <w:rPr>
      <w:vertAlign w:val="superscript"/>
    </w:rPr>
  </w:style>
  <w:style w:type="paragraph" w:customStyle="1" w:styleId="xl100">
    <w:name w:val="xl10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1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291C1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291C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291C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291C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291C1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291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291C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291C1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291C1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291C11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291C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291C1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291C11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2077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2022-12-29T06:42:00Z</cp:lastPrinted>
  <dcterms:created xsi:type="dcterms:W3CDTF">2022-12-28T11:21:00Z</dcterms:created>
  <dcterms:modified xsi:type="dcterms:W3CDTF">2022-12-29T11:11:00Z</dcterms:modified>
</cp:coreProperties>
</file>