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9E" w:rsidRPr="003E4028" w:rsidRDefault="0027089E" w:rsidP="0027089E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- город </w:t>
      </w:r>
      <w:proofErr w:type="spellStart"/>
      <w:r w:rsidRPr="003E4028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27089E" w:rsidRPr="003E4028" w:rsidRDefault="0027089E" w:rsidP="0027089E">
      <w:pPr>
        <w:pStyle w:val="a3"/>
        <w:ind w:left="-851"/>
      </w:pPr>
      <w:r w:rsidRPr="003E4028">
        <w:t xml:space="preserve">Администрация города </w:t>
      </w:r>
      <w:proofErr w:type="spellStart"/>
      <w:r w:rsidRPr="003E4028">
        <w:t>Югорска</w:t>
      </w:r>
      <w:proofErr w:type="spellEnd"/>
    </w:p>
    <w:p w:rsidR="0027089E" w:rsidRPr="003E4028" w:rsidRDefault="0027089E" w:rsidP="0027089E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ПРОТОКОЛ</w:t>
      </w:r>
    </w:p>
    <w:p w:rsidR="0027089E" w:rsidRDefault="0027089E" w:rsidP="0027089E">
      <w:pPr>
        <w:tabs>
          <w:tab w:val="left" w:pos="6660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27089E" w:rsidRPr="00B9378C" w:rsidRDefault="0027089E" w:rsidP="0027089E">
      <w:pPr>
        <w:tabs>
          <w:tab w:val="left" w:pos="6660"/>
        </w:tabs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27089E" w:rsidRPr="00120593" w:rsidRDefault="001B7217" w:rsidP="0027089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</w:t>
      </w:r>
      <w:r w:rsidR="0027089E" w:rsidRPr="0027089E">
        <w:rPr>
          <w:rFonts w:ascii="Times New Roman" w:hAnsi="Times New Roman"/>
          <w:sz w:val="24"/>
          <w:szCs w:val="24"/>
        </w:rPr>
        <w:t>а</w:t>
      </w:r>
      <w:r w:rsidR="0060529F">
        <w:rPr>
          <w:rFonts w:ascii="Times New Roman" w:hAnsi="Times New Roman"/>
          <w:sz w:val="24"/>
          <w:szCs w:val="24"/>
        </w:rPr>
        <w:t>преля</w:t>
      </w:r>
      <w:r w:rsidR="0027089E" w:rsidRPr="0027089E">
        <w:rPr>
          <w:rFonts w:ascii="Times New Roman" w:hAnsi="Times New Roman"/>
          <w:sz w:val="24"/>
          <w:szCs w:val="24"/>
        </w:rPr>
        <w:t xml:space="preserve"> 2018 г</w:t>
      </w:r>
      <w:r w:rsidR="0027089E" w:rsidRPr="0012059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</w:t>
      </w:r>
      <w:r w:rsidR="0060529F" w:rsidRPr="00120593">
        <w:rPr>
          <w:rFonts w:ascii="Times New Roman" w:hAnsi="Times New Roman"/>
          <w:sz w:val="24"/>
          <w:szCs w:val="24"/>
        </w:rPr>
        <w:t xml:space="preserve"> </w:t>
      </w:r>
      <w:r w:rsidR="0027089E" w:rsidRPr="00120593">
        <w:rPr>
          <w:rFonts w:ascii="Times New Roman" w:hAnsi="Times New Roman"/>
          <w:sz w:val="24"/>
          <w:szCs w:val="24"/>
        </w:rPr>
        <w:t xml:space="preserve">   № 0187300005818000</w:t>
      </w:r>
      <w:r w:rsidR="00B33625" w:rsidRPr="00120593">
        <w:rPr>
          <w:rFonts w:ascii="Times New Roman" w:hAnsi="Times New Roman"/>
          <w:sz w:val="24"/>
          <w:szCs w:val="24"/>
        </w:rPr>
        <w:t>121</w:t>
      </w:r>
      <w:r w:rsidR="0027089E" w:rsidRPr="00120593">
        <w:rPr>
          <w:rFonts w:ascii="Times New Roman" w:hAnsi="Times New Roman"/>
          <w:sz w:val="24"/>
          <w:szCs w:val="24"/>
        </w:rPr>
        <w:t>-1</w:t>
      </w:r>
    </w:p>
    <w:p w:rsidR="0061080C" w:rsidRPr="00120593" w:rsidRDefault="0061080C" w:rsidP="0061080C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120593">
        <w:rPr>
          <w:rFonts w:ascii="Times New Roman" w:hAnsi="Times New Roman"/>
          <w:bCs/>
          <w:sz w:val="24"/>
          <w:szCs w:val="24"/>
        </w:rPr>
        <w:t xml:space="preserve">ПРИСУТСТВОВАЛИ: </w:t>
      </w:r>
    </w:p>
    <w:p w:rsidR="0061080C" w:rsidRPr="00120593" w:rsidRDefault="0061080C" w:rsidP="0061080C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120593">
        <w:rPr>
          <w:rFonts w:ascii="Times New Roman" w:hAnsi="Times New Roman"/>
          <w:bCs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20593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120593">
        <w:rPr>
          <w:rFonts w:ascii="Times New Roman" w:hAnsi="Times New Roman"/>
          <w:bCs/>
          <w:sz w:val="24"/>
          <w:szCs w:val="24"/>
        </w:rPr>
        <w:t xml:space="preserve"> (далее - комиссия) в следующем  составе:</w:t>
      </w:r>
    </w:p>
    <w:p w:rsidR="0061080C" w:rsidRPr="00120593" w:rsidRDefault="0061080C" w:rsidP="0061080C">
      <w:pPr>
        <w:pStyle w:val="a5"/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20593">
        <w:rPr>
          <w:rFonts w:ascii="Times New Roman" w:hAnsi="Times New Roman"/>
          <w:sz w:val="24"/>
          <w:szCs w:val="24"/>
        </w:rPr>
        <w:t xml:space="preserve">1. В.К. </w:t>
      </w:r>
      <w:proofErr w:type="spellStart"/>
      <w:r w:rsidRPr="00120593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120593">
        <w:rPr>
          <w:rFonts w:ascii="Times New Roman" w:hAnsi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120593">
        <w:rPr>
          <w:rFonts w:ascii="Times New Roman" w:hAnsi="Times New Roman"/>
          <w:sz w:val="24"/>
          <w:szCs w:val="24"/>
        </w:rPr>
        <w:t>жилищно</w:t>
      </w:r>
      <w:proofErr w:type="spellEnd"/>
      <w:r w:rsidRPr="00120593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12059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120593">
        <w:rPr>
          <w:rFonts w:ascii="Times New Roman" w:hAnsi="Times New Roman"/>
          <w:sz w:val="24"/>
          <w:szCs w:val="24"/>
        </w:rPr>
        <w:t>;</w:t>
      </w:r>
    </w:p>
    <w:p w:rsidR="0061080C" w:rsidRPr="00120593" w:rsidRDefault="0061080C" w:rsidP="0061080C">
      <w:pPr>
        <w:pStyle w:val="a5"/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120593">
        <w:rPr>
          <w:rFonts w:ascii="Times New Roman" w:hAnsi="Times New Roman"/>
          <w:sz w:val="24"/>
          <w:szCs w:val="24"/>
        </w:rPr>
        <w:t xml:space="preserve">2.В.А.Климин - председатель Думы города </w:t>
      </w:r>
      <w:proofErr w:type="spellStart"/>
      <w:r w:rsidRPr="0012059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120593">
        <w:rPr>
          <w:rFonts w:ascii="Times New Roman" w:hAnsi="Times New Roman"/>
          <w:sz w:val="24"/>
          <w:szCs w:val="24"/>
        </w:rPr>
        <w:t>;</w:t>
      </w:r>
    </w:p>
    <w:p w:rsidR="0061080C" w:rsidRPr="00120593" w:rsidRDefault="0061080C" w:rsidP="0061080C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120593">
        <w:rPr>
          <w:rFonts w:ascii="Times New Roman" w:hAnsi="Times New Roman"/>
          <w:bCs/>
          <w:sz w:val="24"/>
          <w:szCs w:val="24"/>
        </w:rPr>
        <w:t>3. Н.А. Морозова – советник руководителя;</w:t>
      </w:r>
    </w:p>
    <w:p w:rsidR="0061080C" w:rsidRPr="00120593" w:rsidRDefault="0061080C" w:rsidP="0061080C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120593">
        <w:rPr>
          <w:rFonts w:ascii="Times New Roman" w:hAnsi="Times New Roman"/>
          <w:bCs/>
          <w:sz w:val="24"/>
          <w:szCs w:val="24"/>
        </w:rPr>
        <w:t xml:space="preserve">4. Ж.В. </w:t>
      </w:r>
      <w:proofErr w:type="spellStart"/>
      <w:r w:rsidRPr="00120593">
        <w:rPr>
          <w:rFonts w:ascii="Times New Roman" w:hAnsi="Times New Roman"/>
          <w:bCs/>
          <w:sz w:val="24"/>
          <w:szCs w:val="24"/>
        </w:rPr>
        <w:t>Резинкина</w:t>
      </w:r>
      <w:proofErr w:type="spellEnd"/>
      <w:r w:rsidRPr="00120593">
        <w:rPr>
          <w:rFonts w:ascii="Times New Roman" w:hAnsi="Times New Roman"/>
          <w:bCs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20593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120593">
        <w:rPr>
          <w:rFonts w:ascii="Times New Roman" w:hAnsi="Times New Roman"/>
          <w:bCs/>
          <w:sz w:val="24"/>
          <w:szCs w:val="24"/>
        </w:rPr>
        <w:t>;</w:t>
      </w:r>
    </w:p>
    <w:p w:rsidR="0061080C" w:rsidRPr="00120593" w:rsidRDefault="0061080C" w:rsidP="0061080C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120593">
        <w:rPr>
          <w:rFonts w:ascii="Times New Roman" w:hAnsi="Times New Roman"/>
          <w:bCs/>
          <w:sz w:val="24"/>
          <w:szCs w:val="24"/>
        </w:rP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20593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120593">
        <w:rPr>
          <w:rFonts w:ascii="Times New Roman" w:hAnsi="Times New Roman"/>
          <w:bCs/>
          <w:sz w:val="24"/>
          <w:szCs w:val="24"/>
        </w:rPr>
        <w:t>;</w:t>
      </w:r>
    </w:p>
    <w:p w:rsidR="0061080C" w:rsidRPr="00120593" w:rsidRDefault="0061080C" w:rsidP="0061080C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120593">
        <w:rPr>
          <w:rFonts w:ascii="Times New Roman" w:hAnsi="Times New Roman"/>
          <w:bCs/>
          <w:sz w:val="24"/>
          <w:szCs w:val="24"/>
        </w:rPr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20593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120593">
        <w:rPr>
          <w:rFonts w:ascii="Times New Roman" w:hAnsi="Times New Roman"/>
          <w:bCs/>
          <w:sz w:val="24"/>
          <w:szCs w:val="24"/>
        </w:rPr>
        <w:t xml:space="preserve">. </w:t>
      </w:r>
    </w:p>
    <w:p w:rsidR="0061080C" w:rsidRPr="00120593" w:rsidRDefault="0061080C" w:rsidP="0061080C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120593">
        <w:rPr>
          <w:rFonts w:ascii="Times New Roman" w:hAnsi="Times New Roman"/>
          <w:bCs/>
          <w:sz w:val="24"/>
          <w:szCs w:val="24"/>
        </w:rPr>
        <w:t>Всего присутствовали 6 членов комиссии из 8.</w:t>
      </w:r>
    </w:p>
    <w:p w:rsidR="0061080C" w:rsidRPr="00120593" w:rsidRDefault="0061080C" w:rsidP="0061080C">
      <w:pPr>
        <w:tabs>
          <w:tab w:val="left" w:pos="-851"/>
        </w:tabs>
        <w:snapToGrid w:val="0"/>
        <w:spacing w:after="0" w:line="240" w:lineRule="auto"/>
        <w:ind w:left="-851"/>
        <w:jc w:val="both"/>
        <w:rPr>
          <w:rFonts w:ascii="Times New Roman" w:hAnsi="Times New Roman"/>
          <w:kern w:val="2"/>
          <w:sz w:val="24"/>
          <w:szCs w:val="24"/>
        </w:rPr>
      </w:pPr>
      <w:r w:rsidRPr="00120593">
        <w:rPr>
          <w:rFonts w:ascii="Times New Roman" w:hAnsi="Times New Roman"/>
          <w:spacing w:val="-6"/>
          <w:sz w:val="24"/>
          <w:szCs w:val="24"/>
        </w:rPr>
        <w:t xml:space="preserve">Представитель </w:t>
      </w:r>
      <w:r w:rsidRPr="00120593">
        <w:rPr>
          <w:rFonts w:ascii="Times New Roman" w:hAnsi="Times New Roman"/>
          <w:sz w:val="24"/>
          <w:szCs w:val="24"/>
        </w:rPr>
        <w:t>заказчика: Скороходова  Людмила</w:t>
      </w:r>
      <w:r w:rsidRPr="00610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80C">
        <w:rPr>
          <w:rFonts w:ascii="Times New Roman" w:hAnsi="Times New Roman"/>
          <w:sz w:val="24"/>
          <w:szCs w:val="24"/>
        </w:rPr>
        <w:t>Сабитовна</w:t>
      </w:r>
      <w:proofErr w:type="spellEnd"/>
      <w:r w:rsidRPr="0061080C">
        <w:rPr>
          <w:rFonts w:ascii="Times New Roman" w:hAnsi="Times New Roman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</w:t>
      </w:r>
      <w:r w:rsidRPr="00120593">
        <w:rPr>
          <w:rFonts w:ascii="Times New Roman" w:hAnsi="Times New Roman"/>
          <w:sz w:val="24"/>
          <w:szCs w:val="24"/>
        </w:rPr>
        <w:t xml:space="preserve">администрации города </w:t>
      </w:r>
      <w:proofErr w:type="spellStart"/>
      <w:r w:rsidRPr="0012059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120593">
        <w:rPr>
          <w:rFonts w:ascii="Times New Roman" w:hAnsi="Times New Roman"/>
          <w:sz w:val="24"/>
          <w:szCs w:val="24"/>
        </w:rPr>
        <w:t>.</w:t>
      </w:r>
    </w:p>
    <w:p w:rsidR="0027089E" w:rsidRPr="00672A97" w:rsidRDefault="0027089E" w:rsidP="00120593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120593">
        <w:rPr>
          <w:rFonts w:ascii="Times New Roman" w:hAnsi="Times New Roman"/>
          <w:bCs/>
          <w:sz w:val="24"/>
          <w:szCs w:val="24"/>
        </w:rPr>
        <w:t>При вскрытии конвертов с заявками на участие в открытом конкурсе присутствовали также представители участников закупки, которые зарегистрировались в Журнале регистрации представителей участников закупки и иных лиц, чем подтвердили свое присутствие.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7089E" w:rsidRPr="0027089E" w:rsidRDefault="0027089E" w:rsidP="0027089E">
      <w:pPr>
        <w:spacing w:after="0" w:line="240" w:lineRule="auto"/>
        <w:ind w:left="-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>1</w:t>
      </w:r>
      <w:r w:rsidRPr="00672A97">
        <w:rPr>
          <w:rFonts w:ascii="Times New Roman" w:hAnsi="Times New Roman"/>
          <w:color w:val="000000"/>
          <w:spacing w:val="-6"/>
          <w:sz w:val="24"/>
          <w:szCs w:val="24"/>
        </w:rPr>
        <w:t>.Наименование к</w:t>
      </w:r>
      <w:r w:rsidRPr="0060529F">
        <w:rPr>
          <w:rFonts w:ascii="Times New Roman" w:hAnsi="Times New Roman"/>
          <w:color w:val="000000"/>
          <w:spacing w:val="-6"/>
          <w:sz w:val="24"/>
          <w:szCs w:val="24"/>
        </w:rPr>
        <w:t xml:space="preserve">онкурса: открытый </w:t>
      </w:r>
      <w:r w:rsidRPr="00B33625">
        <w:rPr>
          <w:rFonts w:ascii="Times New Roman" w:hAnsi="Times New Roman"/>
          <w:color w:val="000000"/>
          <w:spacing w:val="-6"/>
          <w:sz w:val="24"/>
          <w:szCs w:val="24"/>
        </w:rPr>
        <w:t xml:space="preserve">конкурс </w:t>
      </w:r>
      <w:r w:rsidR="00B33625" w:rsidRPr="00B33625">
        <w:rPr>
          <w:rFonts w:ascii="Times New Roman" w:hAnsi="Times New Roman"/>
          <w:color w:val="000000"/>
          <w:sz w:val="24"/>
          <w:szCs w:val="24"/>
        </w:rPr>
        <w:t xml:space="preserve">на право заключения муниципального контракта </w:t>
      </w:r>
      <w:r w:rsidR="00B33625" w:rsidRPr="00B33625">
        <w:rPr>
          <w:rFonts w:ascii="Times New Roman" w:hAnsi="Times New Roman"/>
          <w:sz w:val="24"/>
          <w:szCs w:val="24"/>
        </w:rPr>
        <w:t xml:space="preserve">на оказание услуг по разработке конкурсной документации для проведения конкурса  на право заключения концессионного соглашения в отношении объектов систем теплоснабжения, водоснабжения и водоотведения города </w:t>
      </w:r>
      <w:proofErr w:type="spellStart"/>
      <w:r w:rsidR="00B33625" w:rsidRPr="00B33625">
        <w:rPr>
          <w:rFonts w:ascii="Times New Roman" w:hAnsi="Times New Roman"/>
          <w:sz w:val="24"/>
          <w:szCs w:val="24"/>
        </w:rPr>
        <w:t>Югорска</w:t>
      </w:r>
      <w:proofErr w:type="spellEnd"/>
      <w:r w:rsidR="00B33625" w:rsidRPr="00B33625">
        <w:rPr>
          <w:rFonts w:ascii="Times New Roman" w:hAnsi="Times New Roman"/>
          <w:sz w:val="24"/>
          <w:szCs w:val="24"/>
        </w:rPr>
        <w:t xml:space="preserve">. </w:t>
      </w:r>
      <w:r w:rsidRPr="00B33625">
        <w:rPr>
          <w:rFonts w:ascii="Times New Roman" w:hAnsi="Times New Roman"/>
          <w:color w:val="000000"/>
          <w:spacing w:val="-6"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B33625">
          <w:rPr>
            <w:rFonts w:ascii="Times New Roman" w:hAnsi="Times New Roman"/>
            <w:color w:val="000000"/>
            <w:spacing w:val="-6"/>
            <w:sz w:val="24"/>
            <w:szCs w:val="24"/>
          </w:rPr>
          <w:t xml:space="preserve">http://zakupki.gov.ru) </w:t>
        </w:r>
      </w:hyperlink>
      <w:r w:rsidRPr="00B33625">
        <w:rPr>
          <w:rFonts w:ascii="Times New Roman" w:hAnsi="Times New Roman"/>
          <w:color w:val="000000"/>
          <w:spacing w:val="-6"/>
          <w:sz w:val="24"/>
          <w:szCs w:val="24"/>
        </w:rPr>
        <w:t>0187300005818000</w:t>
      </w:r>
      <w:r w:rsidR="00B33625" w:rsidRPr="00B33625">
        <w:rPr>
          <w:rFonts w:ascii="Times New Roman" w:hAnsi="Times New Roman"/>
          <w:color w:val="000000"/>
          <w:spacing w:val="-6"/>
          <w:sz w:val="24"/>
          <w:szCs w:val="24"/>
        </w:rPr>
        <w:t>121</w:t>
      </w:r>
      <w:r w:rsidRPr="00B33625">
        <w:rPr>
          <w:rFonts w:ascii="Times New Roman" w:hAnsi="Times New Roman"/>
          <w:color w:val="000000"/>
          <w:spacing w:val="-6"/>
          <w:sz w:val="24"/>
          <w:szCs w:val="24"/>
        </w:rPr>
        <w:t xml:space="preserve">, дата публикации </w:t>
      </w:r>
      <w:r w:rsidR="00B33625" w:rsidRPr="00B33625">
        <w:rPr>
          <w:rFonts w:ascii="Times New Roman" w:hAnsi="Times New Roman"/>
          <w:color w:val="000000"/>
          <w:spacing w:val="-6"/>
          <w:sz w:val="24"/>
          <w:szCs w:val="24"/>
        </w:rPr>
        <w:t>30</w:t>
      </w:r>
      <w:r w:rsidRPr="00B33625">
        <w:rPr>
          <w:rFonts w:ascii="Times New Roman" w:hAnsi="Times New Roman"/>
          <w:color w:val="000000"/>
          <w:spacing w:val="-6"/>
          <w:sz w:val="24"/>
          <w:szCs w:val="24"/>
        </w:rPr>
        <w:t xml:space="preserve">.03.2018. </w:t>
      </w:r>
      <w:r w:rsidRPr="00B33625">
        <w:rPr>
          <w:rFonts w:ascii="Times New Roman" w:hAnsi="Times New Roman"/>
          <w:bCs/>
          <w:sz w:val="24"/>
          <w:szCs w:val="24"/>
        </w:rPr>
        <w:t xml:space="preserve">Идентификационный код закупки: </w:t>
      </w:r>
      <w:r w:rsidR="00B33625" w:rsidRPr="00B33625">
        <w:rPr>
          <w:rFonts w:ascii="Times New Roman" w:hAnsi="Times New Roman"/>
          <w:sz w:val="24"/>
          <w:szCs w:val="24"/>
        </w:rPr>
        <w:t>183862201231086220100100510017022244</w:t>
      </w:r>
      <w:r w:rsidR="00B33625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27089E" w:rsidRPr="00B9378C" w:rsidRDefault="0027089E" w:rsidP="0027089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672A97">
        <w:rPr>
          <w:rFonts w:ascii="Times New Roman" w:hAnsi="Times New Roman"/>
          <w:color w:val="000000"/>
          <w:spacing w:val="-6"/>
          <w:sz w:val="24"/>
          <w:szCs w:val="24"/>
        </w:rPr>
        <w:t>2. Заказчик</w:t>
      </w: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 xml:space="preserve"> конкурса: </w:t>
      </w:r>
      <w:r w:rsidRPr="00B9378C">
        <w:rPr>
          <w:rFonts w:ascii="Times New Roman" w:hAnsi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B9378C">
        <w:rPr>
          <w:rFonts w:ascii="Times New Roman" w:hAnsi="Times New Roman"/>
          <w:sz w:val="24"/>
          <w:szCs w:val="24"/>
        </w:rPr>
        <w:t>Югорска</w:t>
      </w:r>
      <w:proofErr w:type="spellEnd"/>
      <w:r w:rsidRPr="00B9378C">
        <w:rPr>
          <w:rFonts w:ascii="Times New Roman" w:hAnsi="Times New Roman"/>
          <w:sz w:val="24"/>
          <w:szCs w:val="24"/>
        </w:rPr>
        <w:t xml:space="preserve">. </w:t>
      </w: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 xml:space="preserve">Почтовый адрес: </w:t>
      </w:r>
      <w:r w:rsidRPr="00B9378C">
        <w:rPr>
          <w:rFonts w:ascii="Times New Roman" w:hAnsi="Times New Roman"/>
          <w:sz w:val="24"/>
          <w:szCs w:val="24"/>
        </w:rPr>
        <w:t xml:space="preserve">628260, ул. Механизаторов, 22, г. </w:t>
      </w:r>
      <w:proofErr w:type="spellStart"/>
      <w:r w:rsidRPr="00B9378C">
        <w:rPr>
          <w:rFonts w:ascii="Times New Roman" w:hAnsi="Times New Roman"/>
          <w:sz w:val="24"/>
          <w:szCs w:val="24"/>
        </w:rPr>
        <w:t>Югорск</w:t>
      </w:r>
      <w:proofErr w:type="spellEnd"/>
      <w:r w:rsidRPr="00B9378C">
        <w:rPr>
          <w:rFonts w:ascii="Times New Roman" w:hAnsi="Times New Roman"/>
          <w:sz w:val="24"/>
          <w:szCs w:val="24"/>
        </w:rPr>
        <w:t>, Ханты-Мансийский автономный округ – Югра.</w:t>
      </w:r>
    </w:p>
    <w:p w:rsidR="0027089E" w:rsidRPr="009A3926" w:rsidRDefault="0027089E" w:rsidP="0027089E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 xml:space="preserve">3. </w:t>
      </w:r>
      <w:proofErr w:type="gramStart"/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>Непосредственно перед вскрытием конвертов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заявками на участие в конкурсе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объявлено присутствующим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последствия подачи двух и более заявок на участие в конкурсе одним участником конкурса, а также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о возможности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27089E" w:rsidRPr="00DE6AE9" w:rsidRDefault="0027089E" w:rsidP="0027089E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AE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Вскрытие конвертов с заявками на участие в конкурсе проводилось </w:t>
      </w:r>
      <w:r w:rsidR="00120593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2018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администрация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proofErr w:type="spellStart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40 лет Победы, 11, г. </w:t>
      </w:r>
      <w:proofErr w:type="spellStart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Югорск</w:t>
      </w:r>
      <w:proofErr w:type="spellEnd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27089E" w:rsidRPr="009A3926" w:rsidRDefault="0027089E" w:rsidP="0027089E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20593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г. 10 часов 00 </w:t>
      </w:r>
      <w:r w:rsidR="00120593">
        <w:rPr>
          <w:rFonts w:ascii="Times New Roman" w:eastAsia="Times New Roman" w:hAnsi="Times New Roman"/>
          <w:sz w:val="24"/>
          <w:szCs w:val="24"/>
          <w:lang w:eastAsia="ru-RU"/>
        </w:rPr>
        <w:t>минут был представлен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5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запечатанны</w:t>
      </w:r>
      <w:r w:rsidR="00120593">
        <w:rPr>
          <w:rFonts w:ascii="Times New Roman" w:eastAsia="Times New Roman" w:hAnsi="Times New Roman"/>
          <w:sz w:val="24"/>
          <w:szCs w:val="24"/>
          <w:lang w:eastAsia="ru-RU"/>
        </w:rPr>
        <w:t>й конверт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</w:t>
      </w:r>
      <w:r w:rsidR="00120593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</w:t>
      </w:r>
      <w:r w:rsidR="001205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закупки: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5"/>
        <w:gridCol w:w="4540"/>
        <w:gridCol w:w="3118"/>
      </w:tblGrid>
      <w:tr w:rsidR="0027089E" w:rsidRPr="008159FE" w:rsidTr="0027089E">
        <w:trPr>
          <w:trHeight w:val="6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Default="0027089E" w:rsidP="0027089E">
            <w:pPr>
              <w:pStyle w:val="a7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Default="0027089E" w:rsidP="0027089E">
            <w:pPr>
              <w:pStyle w:val="a7"/>
              <w:tabs>
                <w:tab w:val="left" w:pos="6660"/>
              </w:tabs>
              <w:spacing w:before="120"/>
              <w:ind w:left="0"/>
              <w:jc w:val="center"/>
            </w:pPr>
            <w:r>
              <w:t>Рег. 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Default="0027089E" w:rsidP="0027089E">
            <w:pPr>
              <w:pStyle w:val="a7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Pr="00120593" w:rsidRDefault="0027089E" w:rsidP="0027089E">
            <w:pPr>
              <w:pStyle w:val="a7"/>
              <w:tabs>
                <w:tab w:val="left" w:pos="6660"/>
              </w:tabs>
              <w:spacing w:before="120"/>
              <w:ind w:left="0"/>
              <w:jc w:val="center"/>
            </w:pPr>
            <w:r w:rsidRPr="00120593">
              <w:t>Почтовый адрес</w:t>
            </w:r>
          </w:p>
        </w:tc>
      </w:tr>
      <w:tr w:rsidR="0027089E" w:rsidRPr="008159FE" w:rsidTr="00120593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93" w:rsidRDefault="00120593" w:rsidP="00120593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089E" w:rsidRPr="00120593" w:rsidRDefault="00120593" w:rsidP="00120593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27089E"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27089E" w:rsidRPr="00120593" w:rsidRDefault="0027089E" w:rsidP="00120593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Pr="0027089E" w:rsidRDefault="00120593" w:rsidP="00120593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27089E"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Pr="00120593" w:rsidRDefault="00120593" w:rsidP="0027089E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Сибпрофконсалт</w:t>
            </w:r>
            <w:proofErr w:type="spellEnd"/>
            <w:r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Pr="00120593" w:rsidRDefault="00120593" w:rsidP="0027089E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625000, </w:t>
            </w:r>
            <w:proofErr w:type="spellStart"/>
            <w:r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юмень</w:t>
            </w:r>
            <w:proofErr w:type="spellEnd"/>
            <w:r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Дзержинского, 15, офис 702</w:t>
            </w:r>
          </w:p>
        </w:tc>
      </w:tr>
    </w:tbl>
    <w:p w:rsidR="0027089E" w:rsidRDefault="0027089E" w:rsidP="0027089E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89E" w:rsidRDefault="0027089E" w:rsidP="0027089E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27089E" w:rsidRPr="00120593" w:rsidRDefault="0027089E" w:rsidP="0027089E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A1D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35723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омиссия проведет рассмотрение и оценку заявок на участие в конкурсе, в сроки, указанные в </w:t>
      </w:r>
      <w:r w:rsidRPr="006F3019">
        <w:rPr>
          <w:rFonts w:ascii="Times New Roman" w:eastAsia="Times New Roman" w:hAnsi="Times New Roman"/>
          <w:sz w:val="24"/>
          <w:szCs w:val="24"/>
          <w:lang w:eastAsia="ru-RU"/>
        </w:rPr>
        <w:t>изв</w:t>
      </w:r>
      <w:r w:rsidRPr="00120593">
        <w:rPr>
          <w:rFonts w:ascii="Times New Roman" w:eastAsia="Times New Roman" w:hAnsi="Times New Roman"/>
          <w:sz w:val="24"/>
          <w:szCs w:val="24"/>
          <w:lang w:eastAsia="ru-RU"/>
        </w:rPr>
        <w:t>ещении о проведении настоящего конкурса.</w:t>
      </w:r>
    </w:p>
    <w:p w:rsidR="0027089E" w:rsidRPr="00E01161" w:rsidRDefault="0060529F" w:rsidP="0027089E">
      <w:pPr>
        <w:pStyle w:val="a5"/>
        <w:spacing w:after="0" w:line="240" w:lineRule="auto"/>
        <w:ind w:left="-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593">
        <w:rPr>
          <w:rFonts w:ascii="Times New Roman" w:eastAsia="Times New Roman" w:hAnsi="Times New Roman"/>
          <w:sz w:val="24"/>
          <w:szCs w:val="24"/>
          <w:lang w:eastAsia="ru-RU"/>
        </w:rPr>
        <w:t>8. В соответствии с частью 13 статьи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открытый конкурс признан несостоявшимся (подана только одна заявка).</w:t>
      </w:r>
    </w:p>
    <w:p w:rsidR="0027089E" w:rsidRPr="00120593" w:rsidRDefault="0027089E" w:rsidP="0027089E">
      <w:pPr>
        <w:pStyle w:val="a5"/>
        <w:spacing w:after="0" w:line="240" w:lineRule="auto"/>
        <w:ind w:left="-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89E" w:rsidRPr="00120593" w:rsidRDefault="0027089E" w:rsidP="0027089E">
      <w:pPr>
        <w:suppressAutoHyphens/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120593">
        <w:rPr>
          <w:rFonts w:ascii="Times New Roman" w:hAnsi="Times New Roman"/>
          <w:b/>
          <w:sz w:val="24"/>
          <w:szCs w:val="24"/>
        </w:rPr>
        <w:t xml:space="preserve">Заместитель председателя комиссии:                                                                В.К. </w:t>
      </w:r>
      <w:proofErr w:type="spellStart"/>
      <w:r w:rsidRPr="00120593">
        <w:rPr>
          <w:rFonts w:ascii="Times New Roman" w:hAnsi="Times New Roman"/>
          <w:b/>
          <w:sz w:val="24"/>
          <w:szCs w:val="24"/>
        </w:rPr>
        <w:t>Бандурин</w:t>
      </w:r>
      <w:proofErr w:type="spellEnd"/>
      <w:r w:rsidRPr="00120593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120593" w:rsidRPr="00120593" w:rsidRDefault="0027089E" w:rsidP="0027089E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120593">
        <w:rPr>
          <w:rFonts w:ascii="Times New Roman" w:hAnsi="Times New Roman"/>
          <w:b/>
          <w:sz w:val="24"/>
          <w:szCs w:val="24"/>
        </w:rPr>
        <w:t xml:space="preserve">Члены  комиссии                   </w:t>
      </w:r>
    </w:p>
    <w:p w:rsidR="00120593" w:rsidRPr="00120593" w:rsidRDefault="00120593" w:rsidP="00120593">
      <w:pPr>
        <w:spacing w:after="0" w:line="240" w:lineRule="auto"/>
        <w:ind w:left="-851"/>
        <w:jc w:val="right"/>
        <w:rPr>
          <w:rFonts w:ascii="Times New Roman" w:hAnsi="Times New Roman"/>
          <w:b/>
          <w:sz w:val="24"/>
          <w:szCs w:val="24"/>
        </w:rPr>
      </w:pPr>
    </w:p>
    <w:p w:rsidR="0027089E" w:rsidRPr="00120593" w:rsidRDefault="0027089E" w:rsidP="00120593">
      <w:pPr>
        <w:spacing w:after="0" w:line="240" w:lineRule="auto"/>
        <w:ind w:left="-851"/>
        <w:jc w:val="right"/>
        <w:rPr>
          <w:rFonts w:ascii="Times New Roman" w:hAnsi="Times New Roman"/>
          <w:b/>
          <w:sz w:val="24"/>
          <w:szCs w:val="24"/>
        </w:rPr>
      </w:pPr>
      <w:r w:rsidRPr="00120593">
        <w:rPr>
          <w:rFonts w:ascii="Times New Roman" w:hAnsi="Times New Roman"/>
          <w:b/>
          <w:sz w:val="24"/>
          <w:szCs w:val="24"/>
        </w:rPr>
        <w:t xml:space="preserve"> </w:t>
      </w:r>
      <w:r w:rsidR="00120593" w:rsidRPr="00120593">
        <w:rPr>
          <w:rFonts w:ascii="Times New Roman" w:hAnsi="Times New Roman"/>
          <w:b/>
          <w:sz w:val="24"/>
          <w:szCs w:val="24"/>
        </w:rPr>
        <w:t>___________________</w:t>
      </w:r>
      <w:proofErr w:type="spellStart"/>
      <w:r w:rsidR="00120593" w:rsidRPr="00120593">
        <w:rPr>
          <w:rFonts w:ascii="Times New Roman" w:hAnsi="Times New Roman"/>
          <w:sz w:val="24"/>
          <w:szCs w:val="24"/>
        </w:rPr>
        <w:t>В.А.Климин</w:t>
      </w:r>
      <w:proofErr w:type="spellEnd"/>
      <w:r w:rsidRPr="001205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7089E" w:rsidRPr="00120593" w:rsidRDefault="0027089E" w:rsidP="00120593">
      <w:pPr>
        <w:tabs>
          <w:tab w:val="left" w:pos="7144"/>
          <w:tab w:val="right" w:pos="10348"/>
        </w:tabs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120593">
        <w:rPr>
          <w:rFonts w:ascii="Times New Roman" w:hAnsi="Times New Roman"/>
          <w:sz w:val="24"/>
          <w:szCs w:val="24"/>
        </w:rPr>
        <w:t>__________________Н.А. Морозова</w:t>
      </w:r>
    </w:p>
    <w:p w:rsidR="0027089E" w:rsidRPr="00120593" w:rsidRDefault="0027089E" w:rsidP="0027089E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120593">
        <w:rPr>
          <w:rFonts w:ascii="Times New Roman" w:hAnsi="Times New Roman"/>
          <w:sz w:val="24"/>
          <w:szCs w:val="24"/>
        </w:rPr>
        <w:t xml:space="preserve">__________________Ж.В. </w:t>
      </w:r>
      <w:proofErr w:type="spellStart"/>
      <w:r w:rsidRPr="00120593">
        <w:rPr>
          <w:rFonts w:ascii="Times New Roman" w:hAnsi="Times New Roman"/>
          <w:sz w:val="24"/>
          <w:szCs w:val="24"/>
        </w:rPr>
        <w:t>Резинкина</w:t>
      </w:r>
      <w:proofErr w:type="spellEnd"/>
    </w:p>
    <w:p w:rsidR="0027089E" w:rsidRPr="00120593" w:rsidRDefault="0027089E" w:rsidP="0027089E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120593">
        <w:rPr>
          <w:rFonts w:ascii="Times New Roman" w:hAnsi="Times New Roman"/>
          <w:sz w:val="24"/>
          <w:szCs w:val="24"/>
        </w:rPr>
        <w:t>_________________А.Т. Абдуллаев</w:t>
      </w:r>
    </w:p>
    <w:p w:rsidR="0027089E" w:rsidRPr="00120593" w:rsidRDefault="0027089E" w:rsidP="0027089E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  <w:r w:rsidRPr="00120593">
        <w:rPr>
          <w:rFonts w:ascii="Times New Roman" w:hAnsi="Times New Roman"/>
          <w:sz w:val="24"/>
          <w:szCs w:val="24"/>
        </w:rPr>
        <w:tab/>
        <w:t>____________________</w:t>
      </w:r>
      <w:proofErr w:type="spellStart"/>
      <w:r w:rsidRPr="00120593">
        <w:rPr>
          <w:rFonts w:ascii="Times New Roman" w:hAnsi="Times New Roman"/>
          <w:sz w:val="24"/>
          <w:szCs w:val="24"/>
        </w:rPr>
        <w:t>Н.Б.Захарова</w:t>
      </w:r>
      <w:proofErr w:type="spellEnd"/>
    </w:p>
    <w:p w:rsidR="0027089E" w:rsidRPr="00120593" w:rsidRDefault="0027089E" w:rsidP="0027089E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27089E" w:rsidRPr="00120593" w:rsidRDefault="0027089E" w:rsidP="0027089E">
      <w:pPr>
        <w:spacing w:after="0" w:line="240" w:lineRule="auto"/>
        <w:ind w:left="-851"/>
        <w:jc w:val="right"/>
        <w:rPr>
          <w:rFonts w:ascii="Times New Roman" w:hAnsi="Times New Roman"/>
          <w:sz w:val="24"/>
          <w:szCs w:val="24"/>
        </w:rPr>
      </w:pPr>
    </w:p>
    <w:p w:rsidR="0027089E" w:rsidRPr="009A4A1D" w:rsidRDefault="0027089E" w:rsidP="0027089E">
      <w:pPr>
        <w:spacing w:after="0" w:line="240" w:lineRule="auto"/>
        <w:ind w:left="-851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120593">
        <w:rPr>
          <w:rFonts w:ascii="Times New Roman" w:hAnsi="Times New Roman"/>
          <w:sz w:val="24"/>
          <w:szCs w:val="24"/>
        </w:rPr>
        <w:t>Представитель Заказчика                                                          ___________________</w:t>
      </w:r>
      <w:proofErr w:type="spellStart"/>
      <w:r w:rsidR="0061080C" w:rsidRPr="00120593">
        <w:rPr>
          <w:rFonts w:ascii="Times New Roman" w:hAnsi="Times New Roman"/>
          <w:sz w:val="24"/>
          <w:szCs w:val="24"/>
        </w:rPr>
        <w:t>Л.С.Скороходова</w:t>
      </w:r>
      <w:proofErr w:type="spellEnd"/>
    </w:p>
    <w:p w:rsidR="0027089E" w:rsidRDefault="0027089E" w:rsidP="0027089E">
      <w:pPr>
        <w:spacing w:after="0" w:line="240" w:lineRule="auto"/>
        <w:ind w:left="-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27089E" w:rsidRDefault="0027089E" w:rsidP="0027089E">
      <w:pPr>
        <w:spacing w:after="0" w:line="240" w:lineRule="auto"/>
        <w:ind w:left="-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7089E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7089E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7089E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7089E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7089E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7089E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7089E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7089E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7089E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Pr="009A4A1D" w:rsidRDefault="0027089E" w:rsidP="002708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0593" w:rsidRDefault="00120593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0593" w:rsidRDefault="00120593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0593" w:rsidRDefault="00120593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0593" w:rsidRDefault="00120593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0593" w:rsidRDefault="00120593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0593" w:rsidRDefault="00120593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0593" w:rsidRDefault="00120593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0593" w:rsidRDefault="00120593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0593" w:rsidRDefault="00120593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120593" w:rsidRDefault="00120593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60529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7089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06DBD" w:rsidRDefault="00006DBD" w:rsidP="0027089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06DBD" w:rsidRDefault="00006DBD" w:rsidP="0027089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06DBD" w:rsidRDefault="00006DBD" w:rsidP="0027089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06DBD" w:rsidRDefault="00006DBD" w:rsidP="0027089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06DBD" w:rsidRDefault="00006DBD" w:rsidP="0027089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7089E" w:rsidRPr="005F3404" w:rsidRDefault="0027089E" w:rsidP="0027089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404">
        <w:rPr>
          <w:rFonts w:ascii="Times New Roman" w:hAnsi="Times New Roman"/>
          <w:sz w:val="18"/>
          <w:szCs w:val="18"/>
        </w:rPr>
        <w:t xml:space="preserve">Приложение </w:t>
      </w:r>
    </w:p>
    <w:p w:rsidR="0027089E" w:rsidRPr="005F3404" w:rsidRDefault="0027089E" w:rsidP="0027089E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404">
        <w:rPr>
          <w:rFonts w:ascii="Times New Roman" w:hAnsi="Times New Roman"/>
          <w:sz w:val="18"/>
          <w:szCs w:val="18"/>
        </w:rPr>
        <w:t>к протоколу вскрытия конвертов</w:t>
      </w:r>
    </w:p>
    <w:p w:rsidR="0027089E" w:rsidRPr="005F3404" w:rsidRDefault="0027089E" w:rsidP="0027089E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404">
        <w:rPr>
          <w:rFonts w:ascii="Times New Roman" w:hAnsi="Times New Roman"/>
          <w:sz w:val="18"/>
          <w:szCs w:val="18"/>
        </w:rPr>
        <w:t>с заявками на участие в конкурсе</w:t>
      </w:r>
    </w:p>
    <w:p w:rsidR="0027089E" w:rsidRPr="005F3404" w:rsidRDefault="0027089E" w:rsidP="0027089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404">
        <w:rPr>
          <w:rFonts w:ascii="Times New Roman" w:hAnsi="Times New Roman"/>
          <w:sz w:val="18"/>
          <w:szCs w:val="18"/>
        </w:rPr>
        <w:t xml:space="preserve">от </w:t>
      </w:r>
      <w:r w:rsidR="0061080C">
        <w:rPr>
          <w:rFonts w:ascii="Times New Roman" w:hAnsi="Times New Roman"/>
          <w:sz w:val="18"/>
          <w:szCs w:val="18"/>
        </w:rPr>
        <w:t>24</w:t>
      </w:r>
      <w:r w:rsidR="0060529F">
        <w:rPr>
          <w:rFonts w:ascii="Times New Roman" w:hAnsi="Times New Roman"/>
          <w:sz w:val="18"/>
          <w:szCs w:val="18"/>
        </w:rPr>
        <w:t xml:space="preserve"> </w:t>
      </w:r>
      <w:r w:rsidRPr="005F3404">
        <w:rPr>
          <w:rFonts w:ascii="Times New Roman" w:hAnsi="Times New Roman"/>
          <w:sz w:val="18"/>
          <w:szCs w:val="18"/>
        </w:rPr>
        <w:t>а</w:t>
      </w:r>
      <w:r w:rsidR="0060529F">
        <w:rPr>
          <w:rFonts w:ascii="Times New Roman" w:hAnsi="Times New Roman"/>
          <w:sz w:val="18"/>
          <w:szCs w:val="18"/>
        </w:rPr>
        <w:t>преля</w:t>
      </w:r>
      <w:r w:rsidRPr="005F3404">
        <w:rPr>
          <w:rFonts w:ascii="Times New Roman" w:hAnsi="Times New Roman"/>
          <w:sz w:val="18"/>
          <w:szCs w:val="18"/>
        </w:rPr>
        <w:t xml:space="preserve">  2018г. № 0187300005818000</w:t>
      </w:r>
      <w:r w:rsidR="00B33625">
        <w:rPr>
          <w:rFonts w:ascii="Times New Roman" w:hAnsi="Times New Roman"/>
          <w:sz w:val="18"/>
          <w:szCs w:val="18"/>
        </w:rPr>
        <w:t>121</w:t>
      </w:r>
      <w:r w:rsidRPr="005F3404">
        <w:rPr>
          <w:rFonts w:ascii="Times New Roman" w:hAnsi="Times New Roman"/>
          <w:sz w:val="18"/>
          <w:szCs w:val="18"/>
        </w:rPr>
        <w:t>-1</w:t>
      </w:r>
    </w:p>
    <w:p w:rsidR="0027089E" w:rsidRPr="009A4A1D" w:rsidRDefault="0027089E" w:rsidP="002708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7089E" w:rsidRPr="00D3117A" w:rsidRDefault="0027089E" w:rsidP="00006DBD">
      <w:pPr>
        <w:pStyle w:val="a7"/>
        <w:spacing w:after="0"/>
        <w:ind w:left="0"/>
        <w:jc w:val="center"/>
      </w:pPr>
      <w:r w:rsidRPr="00D3117A">
        <w:t>Открытый конкурс</w:t>
      </w:r>
    </w:p>
    <w:p w:rsidR="00006DBD" w:rsidRDefault="00B33625" w:rsidP="0027089E">
      <w:pPr>
        <w:pStyle w:val="a7"/>
        <w:spacing w:after="0"/>
        <w:ind w:left="0"/>
        <w:jc w:val="center"/>
      </w:pPr>
      <w:proofErr w:type="gramStart"/>
      <w:r w:rsidRPr="00B33625">
        <w:t>на оказание услуг по разработке конкурсной документации для проведения конкурса  на право заключения концессионного соглашения в отношении</w:t>
      </w:r>
      <w:proofErr w:type="gramEnd"/>
      <w:r w:rsidRPr="00B33625">
        <w:t xml:space="preserve"> объектов систем теплоснабжения, водоснабжения и водоотведения города </w:t>
      </w:r>
      <w:proofErr w:type="spellStart"/>
      <w:r w:rsidRPr="00B33625">
        <w:t>Югорска</w:t>
      </w:r>
      <w:proofErr w:type="spellEnd"/>
    </w:p>
    <w:p w:rsidR="00B33625" w:rsidRDefault="00B33625" w:rsidP="0027089E">
      <w:pPr>
        <w:pStyle w:val="a7"/>
        <w:spacing w:after="0"/>
        <w:ind w:left="0"/>
        <w:jc w:val="center"/>
      </w:pPr>
    </w:p>
    <w:p w:rsidR="0060529F" w:rsidRDefault="0027089E" w:rsidP="0027089E">
      <w:pPr>
        <w:pStyle w:val="a7"/>
        <w:spacing w:after="0"/>
        <w:ind w:left="0"/>
      </w:pPr>
      <w:r w:rsidRPr="004F24E4">
        <w:rPr>
          <w:sz w:val="22"/>
          <w:szCs w:val="22"/>
        </w:rPr>
        <w:t xml:space="preserve">Заказчик: </w:t>
      </w:r>
      <w:r w:rsidRPr="00B9378C">
        <w:t>Департамент жилищно-коммунального и строительного комплек</w:t>
      </w:r>
      <w:r w:rsidR="00006DBD">
        <w:t xml:space="preserve">са администрации города </w:t>
      </w:r>
      <w:proofErr w:type="spellStart"/>
      <w:r w:rsidR="00006DBD">
        <w:t>Югорска</w:t>
      </w:r>
      <w:proofErr w:type="spellEnd"/>
    </w:p>
    <w:p w:rsidR="00006DBD" w:rsidRDefault="00006DBD" w:rsidP="0027089E">
      <w:pPr>
        <w:pStyle w:val="a7"/>
        <w:spacing w:after="0"/>
        <w:ind w:left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709"/>
        <w:gridCol w:w="3969"/>
      </w:tblGrid>
      <w:tr w:rsidR="00AC68D1" w:rsidRPr="008159FE" w:rsidTr="00AC68D1">
        <w:trPr>
          <w:cantSplit/>
          <w:trHeight w:val="91"/>
        </w:trPr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8D1" w:rsidRDefault="00AC68D1" w:rsidP="00F57D28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AC68D1" w:rsidRDefault="00AC68D1" w:rsidP="0060529F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</w:p>
          <w:p w:rsidR="00AC68D1" w:rsidRPr="00294616" w:rsidRDefault="00AC68D1" w:rsidP="00F57D28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Перечень предоставленных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294616" w:rsidRDefault="00AC68D1" w:rsidP="00F57D28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Наименование участника</w:t>
            </w:r>
          </w:p>
        </w:tc>
      </w:tr>
      <w:tr w:rsidR="00AC68D1" w:rsidRPr="008159FE" w:rsidTr="00AC68D1">
        <w:trPr>
          <w:cantSplit/>
          <w:trHeight w:val="1274"/>
        </w:trPr>
        <w:tc>
          <w:tcPr>
            <w:tcW w:w="6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8D1" w:rsidRPr="00294616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Сибпрофконсалт</w:t>
            </w:r>
            <w:proofErr w:type="spellEnd"/>
            <w:r w:rsidRPr="00120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C68D1" w:rsidRPr="00294616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юмень</w:t>
            </w:r>
            <w:proofErr w:type="spellEnd"/>
          </w:p>
        </w:tc>
      </w:tr>
      <w:tr w:rsidR="00AC68D1" w:rsidRPr="008159FE" w:rsidTr="00AC68D1">
        <w:trPr>
          <w:cantSplit/>
          <w:trHeight w:val="43"/>
        </w:trPr>
        <w:tc>
          <w:tcPr>
            <w:tcW w:w="6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8159FE" w:rsidRDefault="00AC68D1" w:rsidP="00F57D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9A4A1D" w:rsidRDefault="00AC68D1" w:rsidP="00F57D28">
            <w:pPr>
              <w:pStyle w:val="ab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1</w:t>
            </w:r>
          </w:p>
        </w:tc>
      </w:tr>
      <w:tr w:rsidR="00AC68D1" w:rsidRPr="008159FE" w:rsidTr="00AC68D1">
        <w:trPr>
          <w:cantSplit/>
          <w:trHeight w:val="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8159FE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404">
              <w:rPr>
                <w:rFonts w:ascii="Times New Roman" w:hAnsi="Times New Roman"/>
              </w:rPr>
              <w:t>Перечень предоставленных документов</w:t>
            </w:r>
          </w:p>
        </w:tc>
      </w:tr>
      <w:tr w:rsidR="00AC68D1" w:rsidRPr="008159FE" w:rsidTr="00AC68D1">
        <w:trPr>
          <w:cantSplit/>
          <w:trHeight w:val="21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D52144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color w:val="000000"/>
                <w:sz w:val="21"/>
                <w:szCs w:val="21"/>
              </w:rPr>
              <w:t>Опись документов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AC68D1" w:rsidRDefault="00AC68D1" w:rsidP="00F57D28">
            <w:pPr>
              <w:spacing w:after="0"/>
              <w:jc w:val="center"/>
              <w:rPr>
                <w:rFonts w:ascii="Times New Roman" w:hAnsi="Times New Roman"/>
              </w:rPr>
            </w:pPr>
            <w:r w:rsidRPr="00AC68D1">
              <w:rPr>
                <w:rFonts w:ascii="Times New Roman" w:hAnsi="Times New Roman"/>
              </w:rPr>
              <w:t xml:space="preserve"> предоставлена</w:t>
            </w:r>
          </w:p>
        </w:tc>
      </w:tr>
      <w:tr w:rsidR="00AC68D1" w:rsidRPr="008159FE" w:rsidTr="00AC68D1">
        <w:trPr>
          <w:cantSplit/>
          <w:trHeight w:val="16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Заявка на участие в конкурсе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AC68D1" w:rsidRDefault="00AC68D1" w:rsidP="00F57D28">
            <w:pPr>
              <w:spacing w:after="0"/>
              <w:jc w:val="center"/>
              <w:rPr>
                <w:rFonts w:ascii="Times New Roman" w:hAnsi="Times New Roman"/>
              </w:rPr>
            </w:pPr>
            <w:r w:rsidRPr="00AC68D1">
              <w:rPr>
                <w:rFonts w:ascii="Times New Roman" w:hAnsi="Times New Roman"/>
              </w:rPr>
              <w:t xml:space="preserve"> предоставлена</w:t>
            </w:r>
          </w:p>
        </w:tc>
      </w:tr>
      <w:tr w:rsidR="00AC68D1" w:rsidRPr="008159FE" w:rsidTr="00AC68D1">
        <w:trPr>
          <w:cantSplit/>
          <w:trHeight w:val="11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Предложение в отношении объекта закупки в соответствии с Формой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AC68D1" w:rsidRDefault="00AC68D1" w:rsidP="00F57D28">
            <w:pPr>
              <w:spacing w:after="0"/>
              <w:jc w:val="center"/>
              <w:rPr>
                <w:rFonts w:ascii="Times New Roman" w:hAnsi="Times New Roman"/>
              </w:rPr>
            </w:pPr>
            <w:r w:rsidRPr="00AC68D1">
              <w:rPr>
                <w:rFonts w:ascii="Times New Roman" w:hAnsi="Times New Roman"/>
              </w:rPr>
              <w:t>предоставлено</w:t>
            </w:r>
          </w:p>
        </w:tc>
      </w:tr>
      <w:tr w:rsidR="00AC68D1" w:rsidRPr="008159FE" w:rsidTr="00AC68D1">
        <w:trPr>
          <w:cantSplit/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Default="00AC68D1" w:rsidP="00F57D28">
            <w:pPr>
              <w:spacing w:after="0"/>
              <w:jc w:val="center"/>
            </w:pPr>
            <w:r w:rsidRPr="00AC68D1">
              <w:rPr>
                <w:rFonts w:ascii="Times New Roman" w:hAnsi="Times New Roman"/>
              </w:rPr>
              <w:t>предоставлена</w:t>
            </w:r>
          </w:p>
        </w:tc>
      </w:tr>
      <w:tr w:rsidR="00AC68D1" w:rsidRPr="008159FE" w:rsidTr="00AC68D1">
        <w:trPr>
          <w:cantSplit/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AC68D1" w:rsidRDefault="00AC68D1" w:rsidP="00F57D28">
            <w:pPr>
              <w:spacing w:after="0"/>
              <w:jc w:val="center"/>
              <w:rPr>
                <w:rFonts w:ascii="Engravers MT" w:hAnsi="Engravers MT"/>
              </w:rPr>
            </w:pPr>
            <w:r w:rsidRPr="00AC68D1">
              <w:rPr>
                <w:rFonts w:ascii="Times New Roman" w:hAnsi="Times New Roman"/>
              </w:rPr>
              <w:t>Не</w:t>
            </w:r>
            <w:r w:rsidRPr="00AC68D1">
              <w:rPr>
                <w:rFonts w:ascii="Engravers MT" w:hAnsi="Engravers MT"/>
              </w:rPr>
              <w:t xml:space="preserve"> </w:t>
            </w:r>
            <w:r w:rsidRPr="00AC68D1">
              <w:rPr>
                <w:rFonts w:ascii="Times New Roman" w:hAnsi="Times New Roman"/>
              </w:rPr>
              <w:t>требуется</w:t>
            </w:r>
          </w:p>
        </w:tc>
      </w:tr>
      <w:tr w:rsidR="00AC68D1" w:rsidRPr="008159FE" w:rsidTr="00AC68D1">
        <w:trPr>
          <w:cantSplit/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Копии документов, удостоверяющих личность (для   физических лиц, не являющихся индивидуальными предпринимателями)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AC68D1" w:rsidRDefault="00AC68D1" w:rsidP="00F57D28">
            <w:pPr>
              <w:jc w:val="center"/>
              <w:rPr>
                <w:rFonts w:ascii="Engravers MT" w:hAnsi="Engravers MT"/>
              </w:rPr>
            </w:pPr>
            <w:r w:rsidRPr="00AC68D1">
              <w:rPr>
                <w:rFonts w:ascii="Times New Roman" w:hAnsi="Times New Roman"/>
              </w:rPr>
              <w:t>Не</w:t>
            </w:r>
            <w:r w:rsidRPr="00AC68D1">
              <w:rPr>
                <w:rFonts w:ascii="Engravers MT" w:hAnsi="Engravers MT"/>
              </w:rPr>
              <w:t xml:space="preserve"> </w:t>
            </w:r>
            <w:r w:rsidRPr="00AC68D1">
              <w:rPr>
                <w:rFonts w:ascii="Times New Roman" w:hAnsi="Times New Roman"/>
              </w:rPr>
              <w:t>требуется</w:t>
            </w:r>
          </w:p>
        </w:tc>
      </w:tr>
      <w:tr w:rsidR="00AC68D1" w:rsidRPr="008159FE" w:rsidTr="00AC68D1">
        <w:trPr>
          <w:cantSplit/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AC68D1" w:rsidRDefault="00AC68D1" w:rsidP="00F57D28">
            <w:pPr>
              <w:jc w:val="center"/>
              <w:rPr>
                <w:rFonts w:ascii="Engravers MT" w:hAnsi="Engravers MT"/>
              </w:rPr>
            </w:pPr>
            <w:r w:rsidRPr="00AC68D1">
              <w:rPr>
                <w:rFonts w:ascii="Times New Roman" w:hAnsi="Times New Roman"/>
              </w:rPr>
              <w:t>Не</w:t>
            </w:r>
            <w:r w:rsidRPr="00AC68D1">
              <w:rPr>
                <w:rFonts w:ascii="Engravers MT" w:hAnsi="Engravers MT"/>
              </w:rPr>
              <w:t xml:space="preserve"> </w:t>
            </w:r>
            <w:r w:rsidRPr="00AC68D1">
              <w:rPr>
                <w:rFonts w:ascii="Times New Roman" w:hAnsi="Times New Roman"/>
              </w:rPr>
              <w:t>требуется</w:t>
            </w:r>
          </w:p>
        </w:tc>
      </w:tr>
      <w:tr w:rsidR="00AC68D1" w:rsidRPr="008159FE" w:rsidTr="00AC68D1">
        <w:trPr>
          <w:cantSplit/>
          <w:trHeight w:val="74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5F3404">
              <w:rPr>
                <w:rFonts w:ascii="Times New Roman" w:hAnsi="Times New Roman"/>
                <w:sz w:val="21"/>
                <w:szCs w:val="21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8D1" w:rsidRDefault="00AC68D1" w:rsidP="00F57D28">
            <w:pPr>
              <w:spacing w:after="0"/>
              <w:jc w:val="center"/>
            </w:pPr>
            <w:r w:rsidRPr="00AC68D1">
              <w:rPr>
                <w:rFonts w:ascii="Times New Roman" w:hAnsi="Times New Roman"/>
              </w:rPr>
              <w:t>предоставлен</w:t>
            </w:r>
          </w:p>
        </w:tc>
      </w:tr>
      <w:tr w:rsidR="00AC68D1" w:rsidRPr="008159FE" w:rsidTr="00AC68D1">
        <w:trPr>
          <w:cantSplit/>
          <w:trHeight w:val="49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0" w:name="_Toc354408461"/>
            <w:r w:rsidRPr="005F3404">
              <w:rPr>
                <w:rFonts w:ascii="Times New Roman" w:hAnsi="Times New Roman"/>
                <w:sz w:val="21"/>
                <w:szCs w:val="21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0"/>
            <w:r w:rsidRPr="005F3404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8D1" w:rsidRDefault="00AC68D1" w:rsidP="00F57D28">
            <w:pPr>
              <w:spacing w:after="0"/>
              <w:jc w:val="center"/>
            </w:pPr>
            <w:r w:rsidRPr="00AC68D1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AC68D1" w:rsidRPr="008159FE" w:rsidTr="00AC68D1">
        <w:trPr>
          <w:cantSplit/>
          <w:trHeight w:val="22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Копии учредительных документов участника закупки (для юридических лиц) (например, копия устава акционерного общества с учётом всех изменений и дополнений)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Default="00AC68D1" w:rsidP="00F57D28">
            <w:pPr>
              <w:spacing w:after="0"/>
              <w:jc w:val="center"/>
            </w:pPr>
            <w:r w:rsidRPr="00AC68D1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AC68D1" w:rsidRPr="008159FE" w:rsidTr="00AC68D1">
        <w:trPr>
          <w:cantSplit/>
          <w:trHeight w:val="50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1"/>
                <w:szCs w:val="21"/>
              </w:rPr>
            </w:pPr>
            <w:bookmarkStart w:id="1" w:name="_Toc354408462"/>
            <w:proofErr w:type="gramStart"/>
            <w:r w:rsidRPr="005F3404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 xml:space="preserve">открытого 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>конкурса поставка товар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а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>, выполнение работ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ы или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 xml:space="preserve"> оказание услуг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и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 xml:space="preserve">, являющихся предметом контракта, или внесение 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 xml:space="preserve">денежных средств в качестве 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 xml:space="preserve">обеспечения заявки 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на участие в открытом</w:t>
            </w:r>
            <w:proofErr w:type="gramEnd"/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gramStart"/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конкурсе</w:t>
            </w:r>
            <w:proofErr w:type="gramEnd"/>
            <w:r w:rsidRPr="005F3404">
              <w:rPr>
                <w:rFonts w:ascii="Times New Roman" w:hAnsi="Times New Roman"/>
                <w:sz w:val="21"/>
                <w:szCs w:val="21"/>
              </w:rPr>
              <w:t>, обеспечения исполнения контракта являются крупной сделкой</w:t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Default="00AC68D1" w:rsidP="00F57D28">
            <w:pPr>
              <w:spacing w:after="0"/>
              <w:jc w:val="center"/>
            </w:pPr>
            <w:r w:rsidRPr="00AC68D1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AC68D1" w:rsidRPr="008159FE" w:rsidTr="00AC68D1">
        <w:trPr>
          <w:cantSplit/>
          <w:trHeight w:val="50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2" w:name="_Toc354408466"/>
            <w:r w:rsidRPr="005F3404">
              <w:rPr>
                <w:rFonts w:ascii="Times New Roman" w:hAnsi="Times New Roman"/>
                <w:sz w:val="21"/>
                <w:szCs w:val="21"/>
              </w:rPr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конкурса*</w:t>
            </w:r>
            <w:bookmarkEnd w:id="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Default="00AC68D1" w:rsidP="00F57D28">
            <w:pPr>
              <w:spacing w:after="0"/>
              <w:jc w:val="center"/>
            </w:pPr>
            <w:r w:rsidRPr="00AC68D1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AC68D1" w:rsidRPr="008159FE" w:rsidTr="00AC68D1">
        <w:trPr>
          <w:cantSplit/>
          <w:trHeight w:val="50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5F3404">
              <w:rPr>
                <w:rFonts w:ascii="Times New Roman" w:hAnsi="Times New Roman"/>
                <w:bCs/>
                <w:iCs/>
                <w:sz w:val="21"/>
                <w:szCs w:val="21"/>
              </w:rPr>
              <w:t>Д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>окументы, подтверждающие внесение обеспечения заявки на участие в открытом конкурсе (платёжное поручение, подтверждающее перечисление денежных средств в качестве обеспечения заявки на участие в открытом конкурсе или копия этого платёжного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5F340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5F3404">
              <w:rPr>
                <w:rFonts w:ascii="Times New Roman" w:hAnsi="Times New Roman"/>
                <w:sz w:val="21"/>
                <w:szCs w:val="21"/>
              </w:rPr>
              <w:t>включены</w:t>
            </w:r>
            <w:proofErr w:type="gramEnd"/>
            <w:r w:rsidRPr="005F3404">
              <w:rPr>
                <w:rFonts w:ascii="Times New Roman" w:hAnsi="Times New Roman"/>
                <w:sz w:val="21"/>
                <w:szCs w:val="21"/>
              </w:rPr>
              <w:t xml:space="preserve"> в реестр банковских гарантий, размещённый в единой информационной системе).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Default="00AC68D1" w:rsidP="00F57D28">
            <w:pPr>
              <w:spacing w:after="0"/>
              <w:jc w:val="center"/>
            </w:pPr>
            <w:r w:rsidRPr="00AC68D1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AC68D1" w:rsidRPr="008159FE" w:rsidTr="00AC68D1">
        <w:trPr>
          <w:cantSplit/>
          <w:trHeight w:val="26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Документы, подтверждающие квалификацию участника открытого конкурса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Default="00AC68D1" w:rsidP="00F57D28">
            <w:pPr>
              <w:spacing w:after="0"/>
              <w:jc w:val="center"/>
            </w:pPr>
            <w:r w:rsidRPr="00AC68D1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AC68D1" w:rsidRPr="008159FE" w:rsidTr="00AC68D1">
        <w:trPr>
          <w:cantSplit/>
          <w:trHeight w:val="22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Иные документы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Default="00AC68D1" w:rsidP="00F57D28">
            <w:pPr>
              <w:spacing w:after="0"/>
              <w:jc w:val="center"/>
            </w:pPr>
            <w:r w:rsidRPr="00AC68D1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AC68D1" w:rsidRPr="008159FE" w:rsidTr="00AC68D1">
        <w:trPr>
          <w:cantSplit/>
          <w:trHeight w:val="33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4F24E4" w:rsidRDefault="00AC68D1" w:rsidP="00F57D28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404">
              <w:rPr>
                <w:rFonts w:ascii="Times New Roman" w:hAnsi="Times New Roman"/>
                <w:b/>
                <w:sz w:val="21"/>
                <w:szCs w:val="21"/>
              </w:rPr>
              <w:t>Критерии оценки заявок на участие в конкурсе</w:t>
            </w:r>
          </w:p>
        </w:tc>
      </w:tr>
      <w:tr w:rsidR="00AC68D1" w:rsidRPr="008159FE" w:rsidTr="00AC68D1">
        <w:trPr>
          <w:cantSplit/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5F3404" w:rsidRDefault="00AC68D1" w:rsidP="00F57D28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b/>
                <w:sz w:val="21"/>
                <w:szCs w:val="21"/>
              </w:rPr>
              <w:t>Цена контракта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>, руб.</w:t>
            </w:r>
          </w:p>
          <w:p w:rsidR="00AC68D1" w:rsidRPr="005F3404" w:rsidRDefault="00AC68D1" w:rsidP="00A54CE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(</w:t>
            </w:r>
            <w:proofErr w:type="gramStart"/>
            <w:r w:rsidRPr="005F3404">
              <w:rPr>
                <w:rFonts w:ascii="Times New Roman" w:hAnsi="Times New Roman"/>
                <w:sz w:val="21"/>
                <w:szCs w:val="21"/>
              </w:rPr>
              <w:t>Н(</w:t>
            </w:r>
            <w:proofErr w:type="gramEnd"/>
            <w:r w:rsidRPr="005F3404">
              <w:rPr>
                <w:rFonts w:ascii="Times New Roman" w:hAnsi="Times New Roman"/>
                <w:sz w:val="21"/>
                <w:szCs w:val="21"/>
              </w:rPr>
              <w:t xml:space="preserve">М)ЦК) =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11 700 000,00 рублей 00 копеек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756D05" w:rsidRDefault="00AC68D1" w:rsidP="00F57D28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8 190 000,00</w:t>
            </w:r>
          </w:p>
        </w:tc>
      </w:tr>
      <w:tr w:rsidR="00AC68D1" w:rsidRPr="008159FE" w:rsidTr="00AC68D1">
        <w:trPr>
          <w:cantSplit/>
          <w:trHeight w:val="53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B33625" w:rsidRDefault="00AC68D1" w:rsidP="00B33625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625">
              <w:rPr>
                <w:rFonts w:ascii="Times New Roman" w:hAnsi="Times New Roman"/>
                <w:b/>
              </w:rPr>
              <w:t xml:space="preserve">Квалификация участников </w:t>
            </w:r>
            <w:r w:rsidRPr="00B33625">
              <w:rPr>
                <w:rFonts w:ascii="Times New Roman" w:hAnsi="Times New Roman"/>
                <w:b/>
                <w:bCs/>
              </w:rPr>
              <w:t>закупки</w:t>
            </w:r>
            <w:r w:rsidRPr="00B33625">
              <w:rPr>
                <w:rFonts w:ascii="Times New Roman" w:hAnsi="Times New Roman"/>
                <w:b/>
              </w:rPr>
              <w:t xml:space="preserve">, в </w:t>
            </w:r>
            <w:r w:rsidRPr="00B33625">
              <w:rPr>
                <w:rFonts w:ascii="Times New Roman" w:hAnsi="Times New Roman"/>
                <w:b/>
                <w:bCs/>
              </w:rPr>
              <w:t>том числе</w:t>
            </w:r>
            <w:r w:rsidRPr="00B33625">
              <w:rPr>
                <w:rFonts w:ascii="Times New Roman" w:hAnsi="Times New Roman"/>
                <w:b/>
              </w:rPr>
              <w:t xml:space="preserve"> наличие у </w:t>
            </w:r>
            <w:r w:rsidRPr="00B33625">
              <w:rPr>
                <w:rFonts w:ascii="Times New Roman" w:hAnsi="Times New Roman"/>
                <w:b/>
                <w:bCs/>
              </w:rPr>
              <w:t xml:space="preserve">них </w:t>
            </w:r>
            <w:r w:rsidRPr="00B33625">
              <w:rPr>
                <w:rFonts w:ascii="Times New Roman" w:hAnsi="Times New Roman"/>
                <w:b/>
              </w:rPr>
              <w:t xml:space="preserve">финансовых ресурсов, </w:t>
            </w:r>
            <w:r w:rsidRPr="00B33625">
              <w:rPr>
                <w:rFonts w:ascii="Times New Roman" w:hAnsi="Times New Roman"/>
                <w:b/>
                <w:bCs/>
              </w:rPr>
              <w:t xml:space="preserve">на праве собственности или ином законном основании </w:t>
            </w:r>
            <w:r w:rsidRPr="00B33625">
              <w:rPr>
                <w:rFonts w:ascii="Times New Roman" w:hAnsi="Times New Roman"/>
                <w:b/>
              </w:rPr>
              <w:t>оборудования и других материальных ресурсов, опыт</w:t>
            </w:r>
            <w:r w:rsidRPr="00B33625">
              <w:rPr>
                <w:rFonts w:ascii="Times New Roman" w:hAnsi="Times New Roman"/>
                <w:b/>
                <w:bCs/>
              </w:rPr>
              <w:t xml:space="preserve">а работы, связанного с предметом контракта, </w:t>
            </w:r>
            <w:r w:rsidRPr="00B33625">
              <w:rPr>
                <w:rFonts w:ascii="Times New Roman" w:hAnsi="Times New Roman"/>
                <w:b/>
              </w:rPr>
              <w:t>и делов</w:t>
            </w:r>
            <w:r w:rsidRPr="00B33625">
              <w:rPr>
                <w:rFonts w:ascii="Times New Roman" w:hAnsi="Times New Roman"/>
                <w:b/>
                <w:bCs/>
              </w:rPr>
              <w:t>ой</w:t>
            </w:r>
            <w:r w:rsidRPr="00B33625">
              <w:rPr>
                <w:rFonts w:ascii="Times New Roman" w:hAnsi="Times New Roman"/>
                <w:b/>
              </w:rPr>
              <w:t xml:space="preserve"> репутаци</w:t>
            </w:r>
            <w:r w:rsidRPr="00B33625">
              <w:rPr>
                <w:rFonts w:ascii="Times New Roman" w:hAnsi="Times New Roman"/>
                <w:b/>
                <w:bCs/>
              </w:rPr>
              <w:t>и</w:t>
            </w:r>
            <w:r w:rsidRPr="00B33625">
              <w:rPr>
                <w:rFonts w:ascii="Times New Roman" w:hAnsi="Times New Roman"/>
                <w:b/>
              </w:rPr>
              <w:t xml:space="preserve">, </w:t>
            </w:r>
            <w:r w:rsidRPr="00B33625">
              <w:rPr>
                <w:rFonts w:ascii="Times New Roman" w:hAnsi="Times New Roman"/>
                <w:b/>
                <w:bCs/>
              </w:rPr>
              <w:t>специалистов и иных работников определенного уровня квалификации</w:t>
            </w:r>
          </w:p>
        </w:tc>
      </w:tr>
      <w:tr w:rsidR="00AC68D1" w:rsidRPr="008159FE" w:rsidTr="00AC68D1">
        <w:trPr>
          <w:cantSplit/>
          <w:trHeight w:val="65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1" w:rsidRPr="00B33625" w:rsidRDefault="00AC68D1" w:rsidP="00B33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3625">
              <w:rPr>
                <w:rFonts w:ascii="Times New Roman" w:hAnsi="Times New Roman"/>
                <w:i/>
                <w:sz w:val="20"/>
                <w:szCs w:val="20"/>
              </w:rPr>
              <w:t>Опыт участника по успешному выполнению работ сопоставимого объема и аналогичного характера.</w:t>
            </w:r>
          </w:p>
          <w:p w:rsidR="00AC68D1" w:rsidRPr="00B33625" w:rsidRDefault="00AC68D1" w:rsidP="00B33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33625">
              <w:rPr>
                <w:rFonts w:ascii="Times New Roman" w:hAnsi="Times New Roman"/>
                <w:sz w:val="20"/>
                <w:szCs w:val="20"/>
              </w:rPr>
              <w:t>В рамках показателя рассматривается:</w:t>
            </w:r>
          </w:p>
          <w:p w:rsidR="00AC68D1" w:rsidRPr="00B33625" w:rsidRDefault="00AC68D1" w:rsidP="00B33625">
            <w:pPr>
              <w:pStyle w:val="ad"/>
              <w:numPr>
                <w:ilvl w:val="0"/>
                <w:numId w:val="1"/>
              </w:numPr>
              <w:ind w:left="51" w:firstLine="309"/>
              <w:jc w:val="both"/>
              <w:rPr>
                <w:sz w:val="20"/>
                <w:szCs w:val="20"/>
              </w:rPr>
            </w:pPr>
            <w:proofErr w:type="gramStart"/>
            <w:r w:rsidRPr="00B33625">
              <w:rPr>
                <w:sz w:val="20"/>
                <w:szCs w:val="20"/>
              </w:rPr>
              <w:t xml:space="preserve">Количество заключенных и исполненных государственных, муниципальных контрактов (договоров) по разработке конкурсной (аукционной) документации для заключения концессионных соглашений в отношении систем коммунальной инфраструктуры и отдельных объектов таких систем за период с 01 января 2014 года по дату вскрытия конвертов с заявками, которые были исполнены полностью, без применения к такому участнику неустоек (штрафов, пеней). </w:t>
            </w:r>
            <w:proofErr w:type="gramEnd"/>
          </w:p>
          <w:p w:rsidR="00AC68D1" w:rsidRPr="00B33625" w:rsidRDefault="00AC68D1" w:rsidP="00B33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625">
              <w:rPr>
                <w:rFonts w:ascii="Times New Roman" w:hAnsi="Times New Roman"/>
                <w:sz w:val="20"/>
                <w:szCs w:val="20"/>
              </w:rPr>
              <w:t>Цена каждого из таких  контрактов (договоров) должна быть не менее 50% начальной (максимальной) цены контракта.</w:t>
            </w:r>
          </w:p>
          <w:p w:rsidR="00AC68D1" w:rsidRPr="00B33625" w:rsidRDefault="00AC68D1" w:rsidP="00B33625">
            <w:pPr>
              <w:tabs>
                <w:tab w:val="left" w:pos="9920"/>
              </w:tabs>
              <w:spacing w:after="0" w:line="240" w:lineRule="auto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B33625">
              <w:rPr>
                <w:rFonts w:ascii="Times New Roman" w:hAnsi="Times New Roman"/>
                <w:sz w:val="20"/>
                <w:szCs w:val="20"/>
              </w:rPr>
              <w:t>ЛИБО</w:t>
            </w:r>
          </w:p>
          <w:p w:rsidR="00AC68D1" w:rsidRPr="00B33625" w:rsidRDefault="00AC68D1" w:rsidP="00B33625">
            <w:pPr>
              <w:pStyle w:val="ad"/>
              <w:numPr>
                <w:ilvl w:val="0"/>
                <w:numId w:val="1"/>
              </w:numPr>
              <w:ind w:left="51" w:firstLine="309"/>
              <w:jc w:val="both"/>
              <w:rPr>
                <w:sz w:val="20"/>
                <w:szCs w:val="20"/>
              </w:rPr>
            </w:pPr>
            <w:proofErr w:type="gramStart"/>
            <w:r w:rsidRPr="00B33625">
              <w:rPr>
                <w:sz w:val="20"/>
                <w:szCs w:val="20"/>
              </w:rPr>
              <w:t xml:space="preserve">Количество заключенных и исполненных государственных, муниципальных контрактов (договоров) по разработке или актуализации схем (с электронной моделью) теплоснабжения, водоснабжения, водоотведения, газоснабжения, программ комплексного развития систем коммунальной инфраструктуры, технических обследований систем теплоснабжения, водоснабжения, </w:t>
            </w:r>
            <w:proofErr w:type="spellStart"/>
            <w:r w:rsidRPr="00B33625">
              <w:rPr>
                <w:sz w:val="20"/>
                <w:szCs w:val="20"/>
              </w:rPr>
              <w:t>водооотведения</w:t>
            </w:r>
            <w:proofErr w:type="spellEnd"/>
            <w:r w:rsidRPr="00B33625">
              <w:rPr>
                <w:sz w:val="20"/>
                <w:szCs w:val="20"/>
              </w:rPr>
              <w:t xml:space="preserve">  за период с 01 января 2009 года по дату вскрытия конвертов с заявками, которые были исполнены полностью, без применения к такому участнику неустоек (штрафов, пеней). </w:t>
            </w:r>
            <w:proofErr w:type="gramEnd"/>
          </w:p>
          <w:p w:rsidR="00AC68D1" w:rsidRPr="00B33625" w:rsidRDefault="00AC68D1" w:rsidP="00B336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625">
              <w:rPr>
                <w:rFonts w:ascii="Times New Roman" w:hAnsi="Times New Roman"/>
                <w:sz w:val="20"/>
                <w:szCs w:val="20"/>
              </w:rPr>
              <w:t xml:space="preserve">Цена каждого из таких  контрактов (договоров) должна быть не менее 50% начальной (максимальной) цены контракта. </w:t>
            </w:r>
          </w:p>
          <w:p w:rsidR="00AC68D1" w:rsidRPr="00B33625" w:rsidRDefault="00AC68D1" w:rsidP="00B3362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625">
              <w:rPr>
                <w:rFonts w:ascii="Times New Roman" w:hAnsi="Times New Roman"/>
                <w:sz w:val="20"/>
                <w:szCs w:val="20"/>
              </w:rPr>
              <w:t>При этом к оценке учитываются только контракты (договоры), подпадающие одновременно под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 вышеперечисленные условия.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D1" w:rsidRDefault="00D9339E" w:rsidP="00B33625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12 контрактов (договоров)</w:t>
            </w:r>
          </w:p>
          <w:p w:rsidR="00D9339E" w:rsidRDefault="00D9339E" w:rsidP="00B33625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</w:p>
          <w:p w:rsidR="00D9339E" w:rsidRPr="00B33625" w:rsidRDefault="00D9339E" w:rsidP="00B33625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50 актов оказанных услуг (выполненных работ)</w:t>
            </w:r>
          </w:p>
        </w:tc>
      </w:tr>
      <w:tr w:rsidR="00AC68D1" w:rsidRPr="008159FE" w:rsidTr="00AC68D1">
        <w:trPr>
          <w:cantSplit/>
          <w:trHeight w:val="2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B33625" w:rsidRDefault="00AC68D1" w:rsidP="00B33625">
            <w:pPr>
              <w:pStyle w:val="ac"/>
              <w:widowControl w:val="0"/>
              <w:tabs>
                <w:tab w:val="clear" w:pos="1980"/>
              </w:tabs>
              <w:ind w:left="-35" w:firstLine="0"/>
              <w:rPr>
                <w:i/>
                <w:sz w:val="20"/>
                <w:szCs w:val="20"/>
              </w:rPr>
            </w:pPr>
            <w:r w:rsidRPr="00B33625">
              <w:rPr>
                <w:i/>
                <w:sz w:val="20"/>
                <w:szCs w:val="20"/>
              </w:rPr>
              <w:lastRenderedPageBreak/>
              <w:t xml:space="preserve">Обеспеченность участника закупки трудовыми ресурсами </w:t>
            </w:r>
            <w:r w:rsidRPr="00B33625">
              <w:rPr>
                <w:bCs/>
                <w:i/>
                <w:sz w:val="20"/>
                <w:szCs w:val="20"/>
              </w:rPr>
              <w:t>для выполнения работ по предмету конкурса</w:t>
            </w:r>
            <w:r w:rsidRPr="00B33625">
              <w:rPr>
                <w:i/>
                <w:sz w:val="20"/>
                <w:szCs w:val="20"/>
              </w:rPr>
              <w:t>.</w:t>
            </w:r>
          </w:p>
          <w:p w:rsidR="00AC68D1" w:rsidRPr="00B33625" w:rsidRDefault="00AC68D1" w:rsidP="00B3362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625">
              <w:rPr>
                <w:rFonts w:ascii="Times New Roman" w:hAnsi="Times New Roman"/>
                <w:sz w:val="20"/>
                <w:szCs w:val="20"/>
              </w:rPr>
              <w:t>В рамках показателя рассматривается информация участника закупки  о наличии в штате участника закупки специалистов с высшим образованием (</w:t>
            </w:r>
            <w:r w:rsidRPr="00B33625">
              <w:rPr>
                <w:rFonts w:ascii="Times New Roman" w:hAnsi="Times New Roman"/>
                <w:bCs/>
                <w:kern w:val="36"/>
                <w:sz w:val="20"/>
                <w:szCs w:val="20"/>
                <w:shd w:val="clear" w:color="auto" w:fill="FFFFFF"/>
              </w:rPr>
              <w:t>а также  специалистов, привлекаемых к исполнению работы по контракту, по отдельным договорам</w:t>
            </w:r>
            <w:r w:rsidRPr="00B33625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B33625">
              <w:rPr>
                <w:rFonts w:ascii="Times New Roman" w:hAnsi="Times New Roman"/>
                <w:bCs/>
                <w:sz w:val="20"/>
                <w:szCs w:val="20"/>
              </w:rPr>
              <w:t xml:space="preserve">которых предполагается привлечь для выполнения работы по данной закупке, </w:t>
            </w:r>
            <w:r w:rsidRPr="00B33625">
              <w:rPr>
                <w:rFonts w:ascii="Times New Roman" w:hAnsi="Times New Roman"/>
                <w:sz w:val="20"/>
                <w:szCs w:val="20"/>
              </w:rPr>
              <w:t>со стажем работы в области  экономических, юридических и технических наук – не менее 5 лет, в том числе у уча</w:t>
            </w:r>
            <w:r>
              <w:rPr>
                <w:rFonts w:ascii="Times New Roman" w:hAnsi="Times New Roman"/>
                <w:sz w:val="20"/>
                <w:szCs w:val="20"/>
              </w:rPr>
              <w:t>стника закупки не менее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 года.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D1" w:rsidRPr="00B33625" w:rsidRDefault="00D9339E" w:rsidP="00B33625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73 специалиста</w:t>
            </w:r>
          </w:p>
        </w:tc>
      </w:tr>
      <w:tr w:rsidR="00AC68D1" w:rsidRPr="008159FE" w:rsidTr="00AC68D1">
        <w:trPr>
          <w:cantSplit/>
          <w:trHeight w:val="16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B33625" w:rsidRDefault="00AC68D1" w:rsidP="00B33625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</w:pPr>
            <w:r w:rsidRPr="00B33625"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>Деловая репутация участника закупки</w:t>
            </w:r>
          </w:p>
          <w:p w:rsidR="00AC68D1" w:rsidRPr="00B33625" w:rsidRDefault="00AC68D1" w:rsidP="00B33625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/>
                <w:iCs/>
                <w:spacing w:val="2"/>
                <w:sz w:val="20"/>
                <w:szCs w:val="20"/>
              </w:rPr>
            </w:pPr>
            <w:r w:rsidRPr="00B33625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Оценке подлежит количество копий предоставленных участником закупки благодарственных писем, рекомендательных писем, дипломов, наград и иных, подтверждающих деловую репутацию учас</w:t>
            </w:r>
            <w:r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тника закупки копий документов.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D1" w:rsidRPr="00B33625" w:rsidRDefault="00D9339E" w:rsidP="00B33625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169</w:t>
            </w:r>
          </w:p>
        </w:tc>
      </w:tr>
      <w:tr w:rsidR="00AC68D1" w:rsidRPr="008159FE" w:rsidTr="00AC68D1">
        <w:trPr>
          <w:cantSplit/>
          <w:trHeight w:val="2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1" w:rsidRPr="00B33625" w:rsidRDefault="00AC68D1" w:rsidP="00B3362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33625">
              <w:rPr>
                <w:rFonts w:ascii="Times New Roman" w:hAnsi="Times New Roman"/>
                <w:bCs/>
                <w:i/>
                <w:sz w:val="20"/>
                <w:szCs w:val="20"/>
              </w:rPr>
              <w:t>Критерий «</w:t>
            </w:r>
            <w:r w:rsidRPr="00B33625">
              <w:rPr>
                <w:rFonts w:ascii="Times New Roman" w:hAnsi="Times New Roman"/>
                <w:i/>
                <w:sz w:val="20"/>
                <w:szCs w:val="20"/>
              </w:rPr>
              <w:t>Качественные, функциональные и экологические характеристики объекта закупки»</w:t>
            </w:r>
          </w:p>
          <w:p w:rsidR="00AC68D1" w:rsidRPr="00B33625" w:rsidRDefault="00AC68D1" w:rsidP="00B3362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B33625">
              <w:rPr>
                <w:rFonts w:ascii="Times New Roman" w:hAnsi="Times New Roman"/>
                <w:sz w:val="20"/>
                <w:szCs w:val="20"/>
              </w:rPr>
              <w:t>В рамках показателя рассмат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ривается развернутое  описание  </w:t>
            </w:r>
            <w:r w:rsidRPr="00B33625">
              <w:rPr>
                <w:rFonts w:ascii="Times New Roman" w:hAnsi="Times New Roman"/>
                <w:b/>
                <w:sz w:val="20"/>
                <w:szCs w:val="20"/>
              </w:rPr>
              <w:t>пояснительной записки</w:t>
            </w:r>
            <w:r w:rsidRPr="00B33625">
              <w:rPr>
                <w:rFonts w:ascii="Times New Roman" w:hAnsi="Times New Roman"/>
                <w:sz w:val="20"/>
                <w:szCs w:val="20"/>
              </w:rPr>
              <w:t>, содержащей предложения участника закупки по выполнению работ: видение развития муниципального образования, описание методологии выполнения работ, технологии выполнения работ, предложение о системе качества работ (в совокупности).</w:t>
            </w:r>
          </w:p>
          <w:p w:rsidR="00AC68D1" w:rsidRPr="00B33625" w:rsidRDefault="00AC68D1" w:rsidP="00B33625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D1" w:rsidRPr="00B33625" w:rsidRDefault="00D9339E" w:rsidP="00B33625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предоставлена</w:t>
            </w:r>
            <w:bookmarkStart w:id="3" w:name="_GoBack"/>
            <w:bookmarkEnd w:id="3"/>
          </w:p>
        </w:tc>
      </w:tr>
    </w:tbl>
    <w:p w:rsidR="00006DBD" w:rsidRPr="00006DBD" w:rsidRDefault="00006DBD" w:rsidP="00AC68D1">
      <w:pPr>
        <w:rPr>
          <w:rFonts w:ascii="Times New Roman" w:hAnsi="Times New Roman"/>
        </w:rPr>
      </w:pPr>
    </w:p>
    <w:sectPr w:rsidR="00006DBD" w:rsidRPr="00006DBD" w:rsidSect="001205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10E4"/>
    <w:multiLevelType w:val="hybridMultilevel"/>
    <w:tmpl w:val="79427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C6"/>
    <w:rsid w:val="00006DBD"/>
    <w:rsid w:val="00084476"/>
    <w:rsid w:val="00120593"/>
    <w:rsid w:val="001B7217"/>
    <w:rsid w:val="0027089E"/>
    <w:rsid w:val="0060529F"/>
    <w:rsid w:val="0061080C"/>
    <w:rsid w:val="0061420D"/>
    <w:rsid w:val="00765D42"/>
    <w:rsid w:val="00A34B8B"/>
    <w:rsid w:val="00A54CEB"/>
    <w:rsid w:val="00AC68D1"/>
    <w:rsid w:val="00AD44C6"/>
    <w:rsid w:val="00B33625"/>
    <w:rsid w:val="00D9339E"/>
    <w:rsid w:val="00E1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089E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7089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7089E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27089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70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unhideWhenUsed/>
    <w:rsid w:val="0027089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7089E"/>
    <w:rPr>
      <w:rFonts w:ascii="Calibri" w:eastAsia="Calibri" w:hAnsi="Calibri" w:cs="Times New Roman"/>
    </w:rPr>
  </w:style>
  <w:style w:type="paragraph" w:styleId="ab">
    <w:name w:val="List Number"/>
    <w:basedOn w:val="a"/>
    <w:rsid w:val="0027089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Пункт"/>
    <w:basedOn w:val="a"/>
    <w:uiPriority w:val="99"/>
    <w:rsid w:val="0027089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70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B3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B33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1080C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1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08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089E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7089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7089E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27089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70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unhideWhenUsed/>
    <w:rsid w:val="0027089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7089E"/>
    <w:rPr>
      <w:rFonts w:ascii="Calibri" w:eastAsia="Calibri" w:hAnsi="Calibri" w:cs="Times New Roman"/>
    </w:rPr>
  </w:style>
  <w:style w:type="paragraph" w:styleId="ab">
    <w:name w:val="List Number"/>
    <w:basedOn w:val="a"/>
    <w:rsid w:val="0027089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Пункт"/>
    <w:basedOn w:val="a"/>
    <w:uiPriority w:val="99"/>
    <w:rsid w:val="0027089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70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B3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B33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1080C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1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08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2018-04-23T11:21:00Z</cp:lastPrinted>
  <dcterms:created xsi:type="dcterms:W3CDTF">2018-04-02T05:11:00Z</dcterms:created>
  <dcterms:modified xsi:type="dcterms:W3CDTF">2018-04-24T10:40:00Z</dcterms:modified>
</cp:coreProperties>
</file>