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41" w:rsidRDefault="00557D41" w:rsidP="00557D41">
      <w:pPr>
        <w:jc w:val="center"/>
        <w:rPr>
          <w:b/>
        </w:rPr>
      </w:pPr>
      <w:r>
        <w:rPr>
          <w:sz w:val="16"/>
          <w:szCs w:val="16"/>
        </w:rPr>
        <w:t xml:space="preserve">          </w:t>
      </w: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557D41" w:rsidRDefault="00557D41" w:rsidP="00557D41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557D41" w:rsidRDefault="00557D41" w:rsidP="00557D41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557D41" w:rsidRDefault="00557D41" w:rsidP="00713B30">
      <w:pPr>
        <w:jc w:val="center"/>
        <w:rPr>
          <w:b/>
        </w:rPr>
      </w:pPr>
      <w:r>
        <w:rPr>
          <w:b/>
        </w:rPr>
        <w:t>рассмотрения единственной заявки на участие в аукционе в электронной форме</w:t>
      </w:r>
    </w:p>
    <w:p w:rsidR="00557D41" w:rsidRDefault="00557D41" w:rsidP="00557D41">
      <w:pPr>
        <w:jc w:val="both"/>
        <w:rPr>
          <w:b/>
        </w:rPr>
      </w:pPr>
      <w:r>
        <w:t xml:space="preserve">         «11» июля 2017 г.                                                                                № 0187300005817000216-1</w:t>
      </w:r>
    </w:p>
    <w:p w:rsidR="00557D41" w:rsidRDefault="00557D41" w:rsidP="00615E97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557D41" w:rsidRDefault="00557D41" w:rsidP="00615E97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557D41" w:rsidRDefault="00557D41" w:rsidP="00615E97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>
        <w:rPr>
          <w:rFonts w:ascii="Times New Roman" w:hAnsi="Times New Roman"/>
          <w:sz w:val="24"/>
          <w:szCs w:val="24"/>
        </w:rPr>
        <w:t>Голин</w:t>
      </w:r>
      <w:proofErr w:type="spellEnd"/>
      <w:r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57D41" w:rsidRDefault="00557D41" w:rsidP="00615E97">
      <w:pPr>
        <w:ind w:left="284"/>
      </w:pPr>
      <w:r>
        <w:t xml:space="preserve">2. В.К. </w:t>
      </w:r>
      <w:proofErr w:type="spellStart"/>
      <w:r>
        <w:t>Бандурин</w:t>
      </w:r>
      <w:proofErr w:type="spellEnd"/>
      <w: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t>жилищно</w:t>
      </w:r>
      <w:proofErr w:type="spellEnd"/>
      <w:r>
        <w:t xml:space="preserve"> - 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>;</w:t>
      </w:r>
    </w:p>
    <w:p w:rsidR="00557D41" w:rsidRDefault="00557D41" w:rsidP="00615E97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В.А. </w:t>
      </w:r>
      <w:proofErr w:type="spellStart"/>
      <w:r>
        <w:rPr>
          <w:rFonts w:ascii="Times New Roman" w:hAnsi="Times New Roman"/>
          <w:sz w:val="24"/>
          <w:szCs w:val="24"/>
        </w:rPr>
        <w:t>Климин</w:t>
      </w:r>
      <w:proofErr w:type="spellEnd"/>
      <w:r>
        <w:rPr>
          <w:rFonts w:ascii="Times New Roman" w:hAnsi="Times New Roman"/>
          <w:sz w:val="24"/>
          <w:szCs w:val="24"/>
        </w:rPr>
        <w:t xml:space="preserve"> - председатель Думы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57D41" w:rsidRDefault="00557D41" w:rsidP="00615E97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Н.А. Морозова – советник руководителя;</w:t>
      </w:r>
    </w:p>
    <w:p w:rsidR="00557D41" w:rsidRDefault="00557D41" w:rsidP="00615E97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Т.И. </w:t>
      </w:r>
      <w:proofErr w:type="spellStart"/>
      <w:r>
        <w:rPr>
          <w:rFonts w:ascii="Times New Roman" w:hAnsi="Times New Roman"/>
          <w:sz w:val="24"/>
          <w:szCs w:val="24"/>
        </w:rPr>
        <w:t>Долгодворова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57D41" w:rsidRDefault="00557D41" w:rsidP="00615E97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57D41" w:rsidRDefault="00557D41" w:rsidP="00615E97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присутствовали 6 членов комиссии из 8.</w:t>
      </w:r>
    </w:p>
    <w:p w:rsidR="00557D41" w:rsidRDefault="00557D41" w:rsidP="00615E97">
      <w:pPr>
        <w:ind w:left="284"/>
        <w:jc w:val="both"/>
      </w:pPr>
      <w:r>
        <w:t>Представитель заказчика: Мицкевич Валерия Владиславовна, бухгалтер МБОУ «Гимназия».</w:t>
      </w:r>
    </w:p>
    <w:p w:rsidR="00557D41" w:rsidRPr="00BD7142" w:rsidRDefault="00557D41" w:rsidP="00615E97">
      <w:pPr>
        <w:tabs>
          <w:tab w:val="num" w:pos="567"/>
        </w:tabs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>1. Наименование аукциона: аукцион в электронной форме № 0187</w:t>
      </w:r>
      <w:r w:rsidR="00BD7142">
        <w:rPr>
          <w:sz w:val="22"/>
          <w:szCs w:val="20"/>
        </w:rPr>
        <w:t>300005817000216</w:t>
      </w:r>
      <w:r>
        <w:rPr>
          <w:sz w:val="22"/>
          <w:szCs w:val="20"/>
        </w:rPr>
        <w:t xml:space="preserve"> </w:t>
      </w:r>
      <w:r w:rsidR="00BD7142" w:rsidRPr="00BD7142">
        <w:rPr>
          <w:sz w:val="22"/>
          <w:szCs w:val="20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крупы и вкусовых товаров.</w:t>
      </w:r>
    </w:p>
    <w:p w:rsidR="00557D41" w:rsidRDefault="00557D41" w:rsidP="00615E97">
      <w:pPr>
        <w:ind w:left="284"/>
        <w:jc w:val="both"/>
      </w:pPr>
      <w:r>
        <w:t xml:space="preserve">1.1 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t>, код аукц</w:t>
      </w:r>
      <w:r w:rsidR="00BD7142">
        <w:t>иона 0187300005817000216</w:t>
      </w:r>
      <w:r>
        <w:t xml:space="preserve">, дата публикации 27.06.2017. </w:t>
      </w:r>
    </w:p>
    <w:p w:rsidR="00557D41" w:rsidRDefault="00557D41" w:rsidP="00615E97">
      <w:pPr>
        <w:ind w:left="284"/>
        <w:jc w:val="both"/>
      </w:pPr>
      <w:r>
        <w:t xml:space="preserve">Идентификационный код закупки: </w:t>
      </w:r>
      <w:r w:rsidR="00BD7142">
        <w:rPr>
          <w:sz w:val="20"/>
          <w:szCs w:val="20"/>
        </w:rPr>
        <w:t>17 38622001011862201001 0070 034 0000 244.</w:t>
      </w:r>
    </w:p>
    <w:p w:rsidR="00557D41" w:rsidRDefault="00557D41" w:rsidP="00615E97">
      <w:pPr>
        <w:ind w:left="284"/>
        <w:jc w:val="both"/>
      </w:pPr>
      <w:r>
        <w:t xml:space="preserve">2. Заказчик: Муниципальное бюджетное образовательное учреждение «Гимназия». Почтовый адрес: 628260, ул. Мира, 6, г. </w:t>
      </w:r>
      <w:proofErr w:type="spellStart"/>
      <w:r>
        <w:t>Югорск</w:t>
      </w:r>
      <w:proofErr w:type="spellEnd"/>
      <w:r>
        <w:t>, Ханты-Мансийский автономный округ – Югра.</w:t>
      </w:r>
    </w:p>
    <w:p w:rsidR="00557D41" w:rsidRDefault="00557D41" w:rsidP="00615E97">
      <w:pPr>
        <w:ind w:left="284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11 июля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 округ-Югра, Тюменская область.</w:t>
      </w:r>
    </w:p>
    <w:p w:rsidR="00557D41" w:rsidRDefault="00557D41" w:rsidP="00615E97">
      <w:pPr>
        <w:ind w:left="284"/>
        <w:jc w:val="both"/>
      </w:pPr>
      <w:r>
        <w:t>4. </w:t>
      </w:r>
      <w:proofErr w:type="gramStart"/>
      <w:r>
        <w:t xml:space="preserve">До окончания указанного в извещении о проведении аукциона срока подачи </w:t>
      </w:r>
      <w:r w:rsidR="005D47BB">
        <w:t>заявок на участие в аукционе</w:t>
      </w:r>
      <w:proofErr w:type="gramEnd"/>
      <w:r w:rsidR="005D47BB">
        <w:t xml:space="preserve"> «07</w:t>
      </w:r>
      <w:r>
        <w:t>» июля 2017г. 10 часов 00 минут была подана: 1 (одна) заявка на участие в аукционе (под номером № 1).</w:t>
      </w:r>
    </w:p>
    <w:p w:rsidR="00557D41" w:rsidRDefault="00557D41" w:rsidP="00615E97">
      <w:pPr>
        <w:ind w:left="284"/>
        <w:jc w:val="both"/>
      </w:pPr>
      <w: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557D41" w:rsidRDefault="00557D41" w:rsidP="00615E97">
      <w:pPr>
        <w:ind w:left="284"/>
        <w:jc w:val="both"/>
      </w:pPr>
      <w: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557D41" w:rsidRDefault="00557D41" w:rsidP="00615E97">
      <w:pPr>
        <w:ind w:left="284"/>
        <w:jc w:val="both"/>
      </w:pPr>
      <w:r>
        <w:t>6.1) о соответствии участника аукциона, подавшего единственную заявку на участие в аукционе, и поданной им заявки №</w:t>
      </w:r>
      <w:r>
        <w:rPr>
          <w:spacing w:val="-6"/>
        </w:rPr>
        <w:t xml:space="preserve"> 1 </w:t>
      </w:r>
      <w: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557D41" w:rsidRDefault="00557D41" w:rsidP="00615E97">
      <w:pPr>
        <w:ind w:left="284"/>
        <w:jc w:val="both"/>
      </w:pPr>
      <w: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647"/>
      </w:tblGrid>
      <w:tr w:rsidR="00557D41" w:rsidTr="00615E97">
        <w:trPr>
          <w:trHeight w:val="3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1" w:rsidRDefault="00557D41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Номер заявки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1" w:rsidRDefault="00557D41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557D41" w:rsidTr="00615E97">
        <w:trPr>
          <w:trHeight w:val="4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1" w:rsidRDefault="00557D41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585"/>
              <w:gridCol w:w="5640"/>
            </w:tblGrid>
            <w:tr w:rsidR="009F0B66" w:rsidTr="00615E97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B66" w:rsidRPr="009F0B66" w:rsidRDefault="009F0B66">
                  <w:r w:rsidRPr="009F0B66">
                    <w:t xml:space="preserve">Наименование участника </w:t>
                  </w:r>
                </w:p>
              </w:tc>
              <w:tc>
                <w:tcPr>
                  <w:tcW w:w="55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B66" w:rsidRPr="009F0B66" w:rsidRDefault="009F0B66">
                  <w:r w:rsidRPr="009F0B66">
                    <w:rPr>
                      <w:b/>
                      <w:bCs/>
                    </w:rPr>
                    <w:t>Общество с ограниченной ответственностью "РЕГИОНОПТ"</w:t>
                  </w:r>
                </w:p>
              </w:tc>
            </w:tr>
            <w:tr w:rsidR="009F0B66" w:rsidTr="00615E97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B66" w:rsidRPr="009F0B66" w:rsidRDefault="009F0B66">
                  <w:r w:rsidRPr="009F0B66">
                    <w:t xml:space="preserve">ИНН </w:t>
                  </w:r>
                </w:p>
              </w:tc>
              <w:tc>
                <w:tcPr>
                  <w:tcW w:w="55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B66" w:rsidRPr="009F0B66" w:rsidRDefault="009F0B66">
                  <w:r w:rsidRPr="009F0B66">
                    <w:t>6679093221</w:t>
                  </w:r>
                </w:p>
              </w:tc>
            </w:tr>
            <w:tr w:rsidR="009F0B66" w:rsidTr="00615E97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B66" w:rsidRPr="009F0B66" w:rsidRDefault="009F0B66">
                  <w:r w:rsidRPr="009F0B66">
                    <w:t xml:space="preserve">КПП </w:t>
                  </w:r>
                </w:p>
              </w:tc>
              <w:tc>
                <w:tcPr>
                  <w:tcW w:w="55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B66" w:rsidRPr="009F0B66" w:rsidRDefault="009F0B66">
                  <w:r w:rsidRPr="009F0B66">
                    <w:t>667901001</w:t>
                  </w:r>
                </w:p>
              </w:tc>
            </w:tr>
            <w:tr w:rsidR="009F0B66" w:rsidTr="00615E97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B66" w:rsidRPr="009F0B66" w:rsidRDefault="009F0B66">
                  <w:r w:rsidRPr="009F0B66">
                    <w:t xml:space="preserve">Юридический адрес </w:t>
                  </w:r>
                </w:p>
              </w:tc>
              <w:tc>
                <w:tcPr>
                  <w:tcW w:w="55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B66" w:rsidRPr="009F0B66" w:rsidRDefault="009F0B66">
                  <w:r w:rsidRPr="009F0B66">
                    <w:t xml:space="preserve">620000, Свердловская </w:t>
                  </w:r>
                  <w:proofErr w:type="spellStart"/>
                  <w:r w:rsidRPr="009F0B66">
                    <w:t>обл</w:t>
                  </w:r>
                  <w:proofErr w:type="spellEnd"/>
                  <w:r w:rsidRPr="009F0B66">
                    <w:t xml:space="preserve">, Екатеринбург г, </w:t>
                  </w:r>
                  <w:proofErr w:type="spellStart"/>
                  <w:r w:rsidRPr="009F0B66">
                    <w:t>ул</w:t>
                  </w:r>
                  <w:proofErr w:type="gramStart"/>
                  <w:r w:rsidRPr="009F0B66">
                    <w:t>.А</w:t>
                  </w:r>
                  <w:proofErr w:type="gramEnd"/>
                  <w:r w:rsidRPr="009F0B66">
                    <w:t>кадемика</w:t>
                  </w:r>
                  <w:proofErr w:type="spellEnd"/>
                  <w:r w:rsidRPr="009F0B66">
                    <w:t xml:space="preserve"> Шварца, д.14А - 4</w:t>
                  </w:r>
                </w:p>
              </w:tc>
            </w:tr>
            <w:tr w:rsidR="009F0B66" w:rsidTr="00615E97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B66" w:rsidRPr="009F0B66" w:rsidRDefault="009F0B66">
                  <w:r w:rsidRPr="009F0B66">
                    <w:t xml:space="preserve">Почтовый адрес </w:t>
                  </w:r>
                </w:p>
              </w:tc>
              <w:tc>
                <w:tcPr>
                  <w:tcW w:w="55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B66" w:rsidRPr="009F0B66" w:rsidRDefault="009F0B66">
                  <w:r w:rsidRPr="009F0B66">
                    <w:t xml:space="preserve">620000, Свердловская </w:t>
                  </w:r>
                  <w:proofErr w:type="spellStart"/>
                  <w:r w:rsidRPr="009F0B66">
                    <w:t>обл</w:t>
                  </w:r>
                  <w:proofErr w:type="spellEnd"/>
                  <w:r w:rsidRPr="009F0B66">
                    <w:t xml:space="preserve">, Екатеринбург г, </w:t>
                  </w:r>
                  <w:proofErr w:type="spellStart"/>
                  <w:r w:rsidRPr="009F0B66">
                    <w:t>ул</w:t>
                  </w:r>
                  <w:proofErr w:type="gramStart"/>
                  <w:r w:rsidRPr="009F0B66">
                    <w:t>.А</w:t>
                  </w:r>
                  <w:proofErr w:type="gramEnd"/>
                  <w:r w:rsidRPr="009F0B66">
                    <w:t>кадемика</w:t>
                  </w:r>
                  <w:proofErr w:type="spellEnd"/>
                  <w:r w:rsidRPr="009F0B66">
                    <w:t xml:space="preserve"> Шварца, д.14А - 4</w:t>
                  </w:r>
                </w:p>
              </w:tc>
            </w:tr>
            <w:tr w:rsidR="009F0B66" w:rsidTr="00615E97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B66" w:rsidRPr="009F0B66" w:rsidRDefault="009F0B66">
                  <w:r w:rsidRPr="009F0B66">
                    <w:t xml:space="preserve">Контактный телефон </w:t>
                  </w:r>
                </w:p>
              </w:tc>
              <w:tc>
                <w:tcPr>
                  <w:tcW w:w="55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B66" w:rsidRPr="009F0B66" w:rsidRDefault="009F0B66">
                  <w:r w:rsidRPr="009F0B66">
                    <w:t>+79122225432</w:t>
                  </w:r>
                </w:p>
              </w:tc>
            </w:tr>
          </w:tbl>
          <w:p w:rsidR="00557D41" w:rsidRDefault="00557D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557D41" w:rsidRPr="009F0B66" w:rsidRDefault="00557D41" w:rsidP="009F0B66">
      <w:pPr>
        <w:jc w:val="both"/>
        <w:rPr>
          <w:szCs w:val="20"/>
        </w:rPr>
      </w:pPr>
      <w:r>
        <w:lastRenderedPageBreak/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557D41" w:rsidRDefault="00557D41" w:rsidP="00557D41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557D41" w:rsidRDefault="00557D41" w:rsidP="009F0B66">
      <w:pPr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tbl>
      <w:tblPr>
        <w:tblW w:w="109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4"/>
        <w:gridCol w:w="2831"/>
        <w:gridCol w:w="2410"/>
      </w:tblGrid>
      <w:tr w:rsidR="00557D41" w:rsidTr="00615E97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1" w:rsidRDefault="00557D41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1" w:rsidRDefault="00557D41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1" w:rsidRDefault="00557D41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557D41" w:rsidTr="00615E97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1" w:rsidRDefault="00557D4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41" w:rsidRDefault="00557D4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1" w:rsidRDefault="00557D41">
            <w:pPr>
              <w:widowControl w:val="0"/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557D41" w:rsidTr="00615E97">
        <w:trPr>
          <w:trHeight w:val="777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1" w:rsidRDefault="00557D4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41" w:rsidRDefault="00557D4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1" w:rsidRDefault="00557D4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557D41" w:rsidTr="00615E97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1" w:rsidRDefault="00557D4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41" w:rsidRDefault="00557D4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1" w:rsidRDefault="00557D4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В.А. </w:t>
            </w:r>
            <w:proofErr w:type="spellStart"/>
            <w:r>
              <w:rPr>
                <w:lang w:eastAsia="en-US"/>
              </w:rPr>
              <w:t>Климин</w:t>
            </w:r>
            <w:proofErr w:type="spellEnd"/>
          </w:p>
        </w:tc>
      </w:tr>
      <w:tr w:rsidR="00557D41" w:rsidTr="00615E97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1" w:rsidRDefault="00557D4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41" w:rsidRDefault="00557D4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1" w:rsidRDefault="00557D4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557D41" w:rsidTr="00615E97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1" w:rsidRDefault="00557D4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41" w:rsidRDefault="00557D4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1" w:rsidRDefault="00557D4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557D41" w:rsidTr="00615E97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1" w:rsidRDefault="00557D4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41" w:rsidRDefault="00557D4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1" w:rsidRDefault="00557D4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</w:tbl>
    <w:p w:rsidR="00557D41" w:rsidRDefault="00557D41" w:rsidP="00557D41">
      <w:pPr>
        <w:rPr>
          <w:b/>
        </w:rPr>
      </w:pPr>
    </w:p>
    <w:p w:rsidR="00557D41" w:rsidRDefault="00557D41" w:rsidP="00557D41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b/>
        </w:rPr>
        <w:t>Голин</w:t>
      </w:r>
      <w:proofErr w:type="spellEnd"/>
    </w:p>
    <w:p w:rsidR="00557D41" w:rsidRDefault="00557D41" w:rsidP="00557D41">
      <w:pPr>
        <w:ind w:left="142"/>
        <w:jc w:val="both"/>
        <w:rPr>
          <w:b/>
        </w:rPr>
      </w:pPr>
    </w:p>
    <w:p w:rsidR="00557D41" w:rsidRDefault="00557D41" w:rsidP="00557D41">
      <w:pPr>
        <w:ind w:left="142"/>
        <w:rPr>
          <w:b/>
        </w:rPr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557D41" w:rsidRDefault="00557D41" w:rsidP="00557D41"/>
    <w:p w:rsidR="00557D41" w:rsidRDefault="00557D41" w:rsidP="00557D41">
      <w:pPr>
        <w:jc w:val="right"/>
      </w:pPr>
      <w:r>
        <w:t xml:space="preserve">_____________________В.К. </w:t>
      </w:r>
      <w:proofErr w:type="spellStart"/>
      <w:r>
        <w:t>Бандурин</w:t>
      </w:r>
      <w:proofErr w:type="spellEnd"/>
    </w:p>
    <w:p w:rsidR="00557D41" w:rsidRDefault="00557D41" w:rsidP="00557D41">
      <w:pPr>
        <w:ind w:left="142"/>
        <w:jc w:val="right"/>
      </w:pPr>
      <w:r>
        <w:t xml:space="preserve">                                                                ____________________Н.А. Морозова</w:t>
      </w:r>
    </w:p>
    <w:p w:rsidR="00557D41" w:rsidRDefault="00557D41" w:rsidP="00557D41">
      <w:pPr>
        <w:ind w:left="142"/>
        <w:jc w:val="right"/>
      </w:pPr>
      <w:r>
        <w:t xml:space="preserve">_______________________В.А. </w:t>
      </w:r>
      <w:proofErr w:type="spellStart"/>
      <w:r>
        <w:t>Климин</w:t>
      </w:r>
      <w:proofErr w:type="spellEnd"/>
    </w:p>
    <w:p w:rsidR="00557D41" w:rsidRDefault="00557D41" w:rsidP="00557D41">
      <w:pPr>
        <w:ind w:left="142"/>
        <w:jc w:val="center"/>
      </w:pPr>
      <w:r>
        <w:t xml:space="preserve">                                                                                                      _________________Т.И. </w:t>
      </w:r>
      <w:proofErr w:type="spellStart"/>
      <w:r>
        <w:t>Долгодворова</w:t>
      </w:r>
      <w:proofErr w:type="spellEnd"/>
    </w:p>
    <w:p w:rsidR="00557D41" w:rsidRDefault="00557D41" w:rsidP="00557D41">
      <w:pPr>
        <w:ind w:left="14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 А.Т. Абдуллаев </w:t>
      </w:r>
    </w:p>
    <w:p w:rsidR="00557D41" w:rsidRDefault="00557D41" w:rsidP="00557D41"/>
    <w:p w:rsidR="00557D41" w:rsidRDefault="00557D41" w:rsidP="00557D41">
      <w:r>
        <w:t xml:space="preserve"> </w:t>
      </w:r>
    </w:p>
    <w:p w:rsidR="00557D41" w:rsidRDefault="00557D41" w:rsidP="00557D41">
      <w:r>
        <w:t>Представитель заказчика:                                                                 ________________В.В. Мицкевич</w:t>
      </w:r>
    </w:p>
    <w:p w:rsidR="00615E97" w:rsidRDefault="00615E97" w:rsidP="00557D41"/>
    <w:p w:rsidR="00615E97" w:rsidRDefault="00615E97" w:rsidP="00557D41"/>
    <w:p w:rsidR="00615E97" w:rsidRDefault="00615E97" w:rsidP="00557D41"/>
    <w:p w:rsidR="00615E97" w:rsidRDefault="00615E97" w:rsidP="00557D41"/>
    <w:p w:rsidR="00615E97" w:rsidRDefault="00615E97" w:rsidP="00557D41"/>
    <w:p w:rsidR="00713B30" w:rsidRDefault="00713B30" w:rsidP="00557D41"/>
    <w:p w:rsidR="00713B30" w:rsidRDefault="00713B30" w:rsidP="00557D41"/>
    <w:p w:rsidR="00713B30" w:rsidRDefault="00713B30" w:rsidP="00557D41">
      <w:bookmarkStart w:id="0" w:name="_GoBack"/>
      <w:bookmarkEnd w:id="0"/>
    </w:p>
    <w:p w:rsidR="00B65A02" w:rsidRDefault="00B65A02" w:rsidP="00557D41"/>
    <w:p w:rsidR="00B65A02" w:rsidRDefault="00B65A02" w:rsidP="00557D41"/>
    <w:p w:rsidR="00B65A02" w:rsidRDefault="00B65A02" w:rsidP="00557D41"/>
    <w:p w:rsidR="00B65A02" w:rsidRDefault="00B65A02" w:rsidP="00557D41"/>
    <w:p w:rsidR="00B65A02" w:rsidRDefault="00B65A02" w:rsidP="00557D41"/>
    <w:p w:rsidR="00B65A02" w:rsidRDefault="00B65A02" w:rsidP="00557D41"/>
    <w:p w:rsidR="00615E97" w:rsidRDefault="00615E97" w:rsidP="00557D41"/>
    <w:p w:rsidR="00615E97" w:rsidRDefault="00615E97" w:rsidP="00615E97">
      <w:pPr>
        <w:ind w:firstLine="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Приложение 1                                                                                                                                              </w:t>
      </w:r>
    </w:p>
    <w:p w:rsidR="00615E97" w:rsidRDefault="00615E97" w:rsidP="00615E97">
      <w:pPr>
        <w:ind w:firstLine="142"/>
        <w:jc w:val="right"/>
        <w:rPr>
          <w:sz w:val="22"/>
          <w:szCs w:val="22"/>
        </w:rPr>
      </w:pPr>
      <w:r>
        <w:rPr>
          <w:sz w:val="22"/>
          <w:szCs w:val="22"/>
        </w:rPr>
        <w:t>к протоколу рассмотрения единственной заявки</w:t>
      </w:r>
    </w:p>
    <w:p w:rsidR="00615E97" w:rsidRDefault="00615E97" w:rsidP="00615E97">
      <w:pPr>
        <w:ind w:firstLine="142"/>
        <w:jc w:val="right"/>
        <w:rPr>
          <w:sz w:val="22"/>
          <w:szCs w:val="22"/>
        </w:rPr>
      </w:pPr>
      <w:r>
        <w:rPr>
          <w:sz w:val="22"/>
          <w:szCs w:val="22"/>
        </w:rPr>
        <w:t>на участие в аукционе в электронной форме</w:t>
      </w:r>
    </w:p>
    <w:p w:rsidR="00615E97" w:rsidRDefault="00615E97" w:rsidP="00615E97">
      <w:pPr>
        <w:tabs>
          <w:tab w:val="left" w:pos="3930"/>
          <w:tab w:val="right" w:pos="9355"/>
        </w:tabs>
        <w:ind w:firstLine="142"/>
        <w:jc w:val="right"/>
        <w:rPr>
          <w:sz w:val="22"/>
          <w:szCs w:val="22"/>
        </w:rPr>
      </w:pPr>
      <w:r>
        <w:rPr>
          <w:sz w:val="22"/>
          <w:szCs w:val="22"/>
        </w:rPr>
        <w:t>от «11» июля 2017 г. № 0187300005817000216-1</w:t>
      </w:r>
    </w:p>
    <w:p w:rsidR="00615E97" w:rsidRDefault="00615E97" w:rsidP="00615E97">
      <w:pPr>
        <w:tabs>
          <w:tab w:val="left" w:pos="3930"/>
          <w:tab w:val="right" w:pos="9355"/>
        </w:tabs>
        <w:ind w:firstLine="142"/>
        <w:jc w:val="right"/>
        <w:rPr>
          <w:sz w:val="22"/>
          <w:szCs w:val="22"/>
        </w:rPr>
      </w:pPr>
    </w:p>
    <w:p w:rsidR="00615E97" w:rsidRDefault="00615E97" w:rsidP="00615E97">
      <w:pPr>
        <w:autoSpaceDE w:val="0"/>
        <w:autoSpaceDN w:val="0"/>
        <w:adjustRightInd w:val="0"/>
        <w:ind w:left="284" w:firstLine="142"/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единственной заявки на участие в аукционе в электронной форме на право заключения гражданско-правового договора среди субъектов малого предпринимательства и социально-ориентированных некоммерческих организаций на поставку крупы и вкусовых товаров.</w:t>
      </w:r>
    </w:p>
    <w:p w:rsidR="00615E97" w:rsidRDefault="00615E97" w:rsidP="00615E97">
      <w:pPr>
        <w:autoSpaceDE w:val="0"/>
        <w:autoSpaceDN w:val="0"/>
        <w:adjustRightInd w:val="0"/>
        <w:ind w:left="284" w:firstLine="142"/>
        <w:jc w:val="center"/>
        <w:rPr>
          <w:rFonts w:cs="Arial"/>
          <w:sz w:val="22"/>
          <w:szCs w:val="22"/>
        </w:rPr>
      </w:pPr>
    </w:p>
    <w:p w:rsidR="00615E97" w:rsidRDefault="00615E97" w:rsidP="00615E97">
      <w:pPr>
        <w:ind w:left="284"/>
        <w:rPr>
          <w:sz w:val="22"/>
          <w:szCs w:val="22"/>
        </w:rPr>
      </w:pPr>
      <w:r>
        <w:rPr>
          <w:sz w:val="22"/>
          <w:szCs w:val="22"/>
        </w:rPr>
        <w:t>Заказчик: Муниципальное бюджетное общеобразовательное учреждение «Гимназия»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567"/>
        <w:gridCol w:w="4114"/>
        <w:gridCol w:w="2126"/>
      </w:tblGrid>
      <w:tr w:rsidR="00615E97" w:rsidTr="00615E97">
        <w:trPr>
          <w:trHeight w:val="379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97" w:rsidRDefault="00615E97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lang w:eastAsia="en-US"/>
              </w:rPr>
              <w:t>Обязательные требования</w:t>
            </w:r>
          </w:p>
          <w:p w:rsidR="00615E97" w:rsidRDefault="00615E97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Default="00615E97">
            <w:pPr>
              <w:widowControl w:val="0"/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Default="00615E97">
            <w:pPr>
              <w:widowControl w:val="0"/>
              <w:spacing w:line="276" w:lineRule="auto"/>
              <w:ind w:right="17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Характеристика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Default="00615E97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 заявки</w:t>
            </w:r>
          </w:p>
        </w:tc>
      </w:tr>
      <w:tr w:rsidR="00615E97" w:rsidTr="00615E97">
        <w:trPr>
          <w:trHeight w:val="70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Default="00615E97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Default="00615E97">
            <w:pPr>
              <w:rPr>
                <w:b/>
                <w:lang w:eastAsia="en-US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Default="00615E9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Default="00615E9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</w:t>
            </w:r>
          </w:p>
        </w:tc>
      </w:tr>
      <w:tr w:rsidR="00615E97" w:rsidRPr="00615E97" w:rsidTr="00615E97">
        <w:trPr>
          <w:trHeight w:val="713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jc w:val="both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Заявка на участие в электронном аукционе состоит из двух частей.</w:t>
            </w:r>
          </w:p>
          <w:p w:rsidR="00615E97" w:rsidRPr="00615E97" w:rsidRDefault="00615E97" w:rsidP="00615E9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eastAsia="en-US"/>
              </w:rPr>
            </w:pPr>
            <w:r w:rsidRPr="00615E97">
              <w:rPr>
                <w:b/>
                <w:sz w:val="16"/>
                <w:szCs w:val="16"/>
                <w:lang w:eastAsia="en-US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615E97" w:rsidRPr="00615E97" w:rsidRDefault="00615E97" w:rsidP="00615E9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15E97">
              <w:rPr>
                <w:sz w:val="16"/>
                <w:szCs w:val="16"/>
                <w:lang w:eastAsia="en-US"/>
              </w:rPr>
              <w:t xml:space="preserve">а)  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</w:t>
            </w:r>
            <w:r w:rsidRPr="00615E97">
              <w:rPr>
                <w:b/>
                <w:sz w:val="16"/>
                <w:szCs w:val="16"/>
                <w:lang w:eastAsia="en-US"/>
              </w:rPr>
              <w:t xml:space="preserve">наименование страны происхождения товара. </w:t>
            </w:r>
            <w:proofErr w:type="gramEnd"/>
          </w:p>
          <w:p w:rsidR="00615E97" w:rsidRPr="00615E97" w:rsidRDefault="00615E97" w:rsidP="00615E97">
            <w:pPr>
              <w:widowControl w:val="0"/>
              <w:jc w:val="both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Яйцо куриное.</w:t>
            </w: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  <w:proofErr w:type="gram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Куриное</w:t>
            </w:r>
            <w:proofErr w:type="gram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 пищевое столовое 1 категории. ГОСТ 31654-2012. Срок годности не более 25 суток. Остаточный срок годности на момент поставки не менее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397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Какао порошок. Быстрорастворимый. Фасовка не менее 100 </w:t>
            </w:r>
            <w:proofErr w:type="spell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 и не более 200 </w:t>
            </w:r>
            <w:proofErr w:type="spell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, упаковка маркированная, без повреждений. ГОСТ 108-2014. Срок годности не менее 12 мес. и не более 24 мес. Остаточный срок годности на момент поставки не менее 80 %.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878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Чай.</w:t>
            </w: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ab/>
              <w:t xml:space="preserve">Черный, байховый листовой, высший сорт. Фасовка не менее 100 </w:t>
            </w:r>
            <w:proofErr w:type="spell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 и не более 200 </w:t>
            </w:r>
            <w:proofErr w:type="spell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, упаковка маркированная, без повреждений. ГОСТ 32573-2013. Срок годности не более 36 мес. Остаточный срок годности на момент поставки не менее 80 %.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664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Кофейный напиток.</w:t>
            </w: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ab/>
              <w:t xml:space="preserve">Не содержит натуральный кофе. Фасовка не менее 100 гр. и не более 200 гр. ГОСТ </w:t>
            </w:r>
            <w:proofErr w:type="gram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Р</w:t>
            </w:r>
            <w:proofErr w:type="gram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 50364-92. Срок годности не более 6 мес. </w:t>
            </w:r>
            <w:proofErr w:type="gram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со</w:t>
            </w:r>
            <w:proofErr w:type="gram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  Остаточный срок годности на момент поставки не менее 80 %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335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Зелень сухая.</w:t>
            </w: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ab/>
              <w:t>Фасовка не менее 7 гр. и не более 20 гр. Упаковка без повреждений. ГОСТ 32065-2013. Срок годности не более 12 мес. Остаточный срок годности на момент поставки не менее 80 %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445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Шоколад.</w:t>
            </w: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  <w:proofErr w:type="gram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Сливочный</w:t>
            </w:r>
            <w:proofErr w:type="gram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, молочный, фасовка не менее 25 гр. и не более 50 гр., в плитке. ГОСТ 31721-2015. Срок годности не более 12 мес. Остаточный срок годности на момент поставки не менее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540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Чай зеленый.</w:t>
            </w: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ab/>
              <w:t>Байховый листовой, высший сорт. Фасовка не менее 100 гр. и не более 200 гр. ГОСТ 32574-2013. Срок годности не более 12 мес. Остаточный срок годности на момент поставки не менее 80 %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65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Чай с ромашкой.</w:t>
            </w: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ab/>
              <w:t>Черный байховый листовой, высший сорт, фасовка не менее 50 гр. не более 100 гр. ГОСТ 32573-2013. Срок годности не более 24 мес. Остаточный срок годности на момент поставки не менее 80 %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848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Цикорий растворимый.</w:t>
            </w: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ab/>
              <w:t xml:space="preserve">Без добавок. Фасовка не менее 85 гр. и не более 100 гр. ГОСТ </w:t>
            </w:r>
            <w:proofErr w:type="gram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Р</w:t>
            </w:r>
            <w:proofErr w:type="gram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 55512-2013. Срок годности не более 24 мес. Остаточный срок годности на момент поставки не менее 80 %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988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Крупа кукурузная.</w:t>
            </w: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ab/>
              <w:t xml:space="preserve">Шлифованная. Без загрязнений и примеси. Упаковка не менее 500 </w:t>
            </w:r>
            <w:proofErr w:type="spell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, не более 1000 гр. ГОСТ 6002-69 </w:t>
            </w:r>
            <w:proofErr w:type="gram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ТР</w:t>
            </w:r>
            <w:proofErr w:type="gram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 ТС 015/2011. Срок годности не более 10 мес. Остаточный срок годности на момент поставки не менее 80 %.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705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Горох колотый.</w:t>
            </w: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ab/>
              <w:t xml:space="preserve">Шлифованный. Без загрязнения и примесей. Упаковка не менее 500 гр. и не более 1000 гр. ГОСТ 6201-68, </w:t>
            </w:r>
            <w:proofErr w:type="gram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ТР</w:t>
            </w:r>
            <w:proofErr w:type="gram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 ТС 015/2011. Срок годности не более 20 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67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Крупа манная.</w:t>
            </w: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ab/>
              <w:t xml:space="preserve">Весовая. Без загрязнений и примесей. Упаковка не менее 500 гр. и не более 1000 гр. ГОСТ 7022-97 </w:t>
            </w:r>
            <w:proofErr w:type="gram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ТР</w:t>
            </w:r>
            <w:proofErr w:type="gram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 ТС 015/2011. Срок годности не более 10 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626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Крупа перловая.</w:t>
            </w: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ab/>
              <w:t xml:space="preserve">Шлифованная. Без загрязнений и примесей. Упаковка не менее 500 гр. и не более 1000 </w:t>
            </w:r>
            <w:proofErr w:type="spell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,.  ГОСТ 5784-60 </w:t>
            </w:r>
            <w:proofErr w:type="gram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ТР</w:t>
            </w:r>
            <w:proofErr w:type="gram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 ТС 015/2011. Срок годности не более 18 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722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Макаронные изделия.</w:t>
            </w: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ab/>
              <w:t>Твердые сорта пшеницы (группа А). Без загрязнений и примесей. Фасованные в прозрачные полиэтиленовые мешки вес не менее 1 кг</w:t>
            </w:r>
            <w:proofErr w:type="gram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  <w:proofErr w:type="gram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и</w:t>
            </w:r>
            <w:proofErr w:type="gram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 не более 5 кг. ГОСТ 31743-2012. Срок годности не более 24 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792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Крупа ячневая.</w:t>
            </w: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ab/>
              <w:t xml:space="preserve">Дробленая. Без загрязнений и примесей. Упаковка не менее 500 гр. и не более 1000 гр. ГОСТ 5784-60 </w:t>
            </w:r>
            <w:proofErr w:type="gram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ТР</w:t>
            </w:r>
            <w:proofErr w:type="gram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 ТС 015/2011. Срок годности не более 15 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695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Крупа овсяная. Высший сорт, </w:t>
            </w:r>
            <w:proofErr w:type="gram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дробленая</w:t>
            </w:r>
            <w:proofErr w:type="gram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. Без посторонних запахов. Упаковка не менее 500 </w:t>
            </w:r>
            <w:proofErr w:type="spell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 и не более 1000 </w:t>
            </w:r>
            <w:proofErr w:type="spell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, маркированная, без повреждений. ГОСТ 3034-75 </w:t>
            </w:r>
            <w:proofErr w:type="gram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ТР</w:t>
            </w:r>
            <w:proofErr w:type="gram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 ТС 015/2011. Срок годности не более 10  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764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Хлопья овсяные геркулес. Высший сорт, без посторонних запахов. Упаковка не менее 500 </w:t>
            </w:r>
            <w:proofErr w:type="spell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 xml:space="preserve"> и не более 1000 </w:t>
            </w:r>
            <w:proofErr w:type="spellStart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615E97">
              <w:rPr>
                <w:color w:val="000000" w:themeColor="text1"/>
                <w:sz w:val="16"/>
                <w:szCs w:val="16"/>
                <w:lang w:eastAsia="en-US"/>
              </w:rPr>
              <w:t>, маркированная, без повреждений. ГОСТ 21149-93. Срок годности не более 4 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15E97" w:rsidRPr="00615E97" w:rsidTr="00615E97">
        <w:trPr>
          <w:trHeight w:val="13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97" w:rsidRPr="00615E97" w:rsidRDefault="00615E97" w:rsidP="00615E97">
            <w:pPr>
              <w:snapToGrid w:val="0"/>
              <w:rPr>
                <w:b/>
                <w:sz w:val="16"/>
                <w:szCs w:val="16"/>
                <w:lang w:eastAsia="en-US"/>
              </w:rPr>
            </w:pPr>
          </w:p>
          <w:p w:rsidR="00615E97" w:rsidRPr="00615E97" w:rsidRDefault="00615E97" w:rsidP="00615E97">
            <w:pPr>
              <w:snapToGrid w:val="0"/>
              <w:rPr>
                <w:b/>
                <w:sz w:val="16"/>
                <w:szCs w:val="16"/>
                <w:lang w:eastAsia="en-US"/>
              </w:rPr>
            </w:pPr>
          </w:p>
          <w:p w:rsidR="00615E97" w:rsidRPr="00615E97" w:rsidRDefault="00615E97" w:rsidP="00615E97">
            <w:pPr>
              <w:snapToGrid w:val="0"/>
              <w:rPr>
                <w:b/>
                <w:sz w:val="16"/>
                <w:szCs w:val="16"/>
                <w:lang w:eastAsia="en-US"/>
              </w:rPr>
            </w:pPr>
            <w:r w:rsidRPr="00615E97">
              <w:rPr>
                <w:b/>
                <w:sz w:val="16"/>
                <w:szCs w:val="16"/>
                <w:lang w:eastAsia="en-US"/>
              </w:rPr>
              <w:t>Вторая часть заявки на участие в электронном аукционе должна содержать следующие сведения:</w:t>
            </w:r>
          </w:p>
          <w:p w:rsidR="00615E97" w:rsidRPr="00615E97" w:rsidRDefault="00615E97" w:rsidP="00615E97">
            <w:pPr>
              <w:widowControl w:val="0"/>
              <w:snapToGrid w:val="0"/>
              <w:ind w:left="294" w:hanging="29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snapToGrid w:val="0"/>
              <w:ind w:left="-2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15E97">
              <w:rPr>
                <w:b/>
                <w:color w:val="000000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15E97">
              <w:rPr>
                <w:b/>
                <w:color w:val="000000"/>
                <w:sz w:val="16"/>
                <w:szCs w:val="16"/>
                <w:lang w:eastAsia="en-US"/>
              </w:rPr>
              <w:t>ООО «РЕГИОНОПТ» г. Екатеринбург</w:t>
            </w:r>
          </w:p>
        </w:tc>
      </w:tr>
      <w:tr w:rsidR="00615E97" w:rsidRPr="00615E97" w:rsidTr="00615E97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t>1.</w:t>
            </w:r>
            <w:r w:rsidRPr="00615E97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615E97">
              <w:rPr>
                <w:bCs/>
                <w:sz w:val="16"/>
                <w:szCs w:val="16"/>
              </w:rPr>
              <w:t>закупки -</w:t>
            </w:r>
            <w:r w:rsidRPr="00615E97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615E97">
              <w:rPr>
                <w:bCs/>
                <w:sz w:val="16"/>
                <w:szCs w:val="16"/>
              </w:rPr>
              <w:t>закупки</w:t>
            </w:r>
            <w:r w:rsidRPr="00615E97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615E97">
              <w:rPr>
                <w:bCs/>
                <w:sz w:val="16"/>
                <w:szCs w:val="16"/>
              </w:rPr>
              <w:t>несостоятельным (</w:t>
            </w:r>
            <w:r w:rsidRPr="00615E97">
              <w:rPr>
                <w:sz w:val="16"/>
                <w:szCs w:val="16"/>
              </w:rPr>
              <w:t>банкротом</w:t>
            </w:r>
            <w:r w:rsidRPr="00615E97">
              <w:rPr>
                <w:bCs/>
                <w:sz w:val="16"/>
                <w:szCs w:val="16"/>
              </w:rPr>
              <w:t>)</w:t>
            </w:r>
            <w:r w:rsidRPr="00615E97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jc w:val="center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615E97" w:rsidRPr="00615E97" w:rsidTr="00615E97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615E97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jc w:val="center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615E97" w:rsidRPr="00615E97" w:rsidTr="00615E97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615E97">
              <w:rPr>
                <w:sz w:val="16"/>
                <w:szCs w:val="16"/>
              </w:rPr>
              <w:t xml:space="preserve">3. </w:t>
            </w:r>
            <w:proofErr w:type="gramStart"/>
            <w:r w:rsidRPr="00615E97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615E97">
              <w:rPr>
                <w:sz w:val="16"/>
                <w:szCs w:val="16"/>
              </w:rPr>
              <w:t xml:space="preserve"> </w:t>
            </w:r>
            <w:proofErr w:type="gramStart"/>
            <w:r w:rsidRPr="00615E97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15E97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15E97">
              <w:rPr>
                <w:sz w:val="16"/>
                <w:szCs w:val="16"/>
              </w:rPr>
              <w:t>указанных</w:t>
            </w:r>
            <w:proofErr w:type="gramEnd"/>
            <w:r w:rsidRPr="00615E97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jc w:val="center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615E97" w:rsidRPr="00615E97" w:rsidTr="00615E97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615E97">
              <w:rPr>
                <w:color w:val="000000"/>
                <w:sz w:val="16"/>
                <w:szCs w:val="16"/>
              </w:rPr>
              <w:t>О</w:t>
            </w:r>
            <w:r w:rsidRPr="00615E97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615E97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jc w:val="center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615E97" w:rsidRPr="00615E97" w:rsidTr="00615E97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proofErr w:type="gramStart"/>
            <w:r w:rsidRPr="00615E97">
              <w:rPr>
                <w:sz w:val="16"/>
                <w:szCs w:val="16"/>
              </w:rPr>
              <w:t>5.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 w:rsidRPr="00615E97">
              <w:rPr>
                <w:sz w:val="16"/>
                <w:szCs w:val="16"/>
              </w:rPr>
              <w:t xml:space="preserve"> </w:t>
            </w:r>
            <w:proofErr w:type="gramStart"/>
            <w:r w:rsidRPr="00615E97">
              <w:rPr>
                <w:sz w:val="16"/>
                <w:szCs w:val="16"/>
              </w:rPr>
              <w:t xml:space="preserve"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</w:t>
            </w:r>
            <w:r w:rsidRPr="00615E97">
              <w:rPr>
                <w:sz w:val="16"/>
                <w:szCs w:val="16"/>
              </w:rPr>
              <w:lastRenderedPageBreak/>
              <w:t>дисквалификации;</w:t>
            </w:r>
            <w:proofErr w:type="gramEnd"/>
          </w:p>
          <w:p w:rsidR="00615E97" w:rsidRPr="00615E97" w:rsidRDefault="00615E97" w:rsidP="00615E97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615E97">
              <w:rPr>
                <w:sz w:val="16"/>
                <w:szCs w:val="16"/>
              </w:rPr>
              <w:t>5.1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jc w:val="center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615E97" w:rsidRPr="00615E97" w:rsidTr="00615E97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lastRenderedPageBreak/>
              <w:t xml:space="preserve">6. </w:t>
            </w:r>
            <w:r w:rsidRPr="00615E97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615E97">
              <w:rPr>
                <w:bCs/>
                <w:sz w:val="16"/>
                <w:szCs w:val="16"/>
              </w:rPr>
              <w:t>закупки – юридическом лице</w:t>
            </w:r>
            <w:r w:rsidRPr="00615E97">
              <w:rPr>
                <w:sz w:val="16"/>
                <w:szCs w:val="16"/>
              </w:rPr>
              <w:t xml:space="preserve">, </w:t>
            </w:r>
            <w:r w:rsidRPr="00615E97">
              <w:rPr>
                <w:bCs/>
                <w:sz w:val="16"/>
                <w:szCs w:val="16"/>
              </w:rPr>
              <w:t>в том числе</w:t>
            </w:r>
            <w:r w:rsidRPr="00615E97">
              <w:rPr>
                <w:sz w:val="16"/>
                <w:szCs w:val="16"/>
              </w:rPr>
              <w:t xml:space="preserve"> сведений об учредителях, </w:t>
            </w:r>
            <w:r w:rsidRPr="00615E97">
              <w:rPr>
                <w:bCs/>
                <w:sz w:val="16"/>
                <w:szCs w:val="16"/>
              </w:rPr>
              <w:t>о</w:t>
            </w:r>
            <w:r w:rsidRPr="00615E97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615E97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jc w:val="center"/>
              <w:rPr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jc w:val="center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615E97" w:rsidRPr="00615E97" w:rsidTr="00615E97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snapToGrid w:val="0"/>
              <w:ind w:left="142"/>
              <w:rPr>
                <w:color w:val="000000"/>
                <w:sz w:val="16"/>
                <w:szCs w:val="16"/>
                <w:lang w:eastAsia="en-US"/>
              </w:rPr>
            </w:pPr>
            <w:r w:rsidRPr="00615E97">
              <w:rPr>
                <w:color w:val="000000"/>
                <w:sz w:val="16"/>
                <w:szCs w:val="16"/>
                <w:lang w:eastAsia="en-US"/>
              </w:rPr>
              <w:t>7. Принадлежность участника  закупки к офшорным компаниям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snapToGrid w:val="0"/>
              <w:ind w:left="105" w:right="12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15E97">
              <w:rPr>
                <w:color w:val="000000"/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15E97"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615E97" w:rsidRPr="00615E97" w:rsidTr="00615E97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ind w:left="142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8. принадлежность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>Информация продекларирована</w:t>
            </w:r>
          </w:p>
        </w:tc>
      </w:tr>
      <w:tr w:rsidR="00615E97" w:rsidRPr="00615E97" w:rsidTr="00615E97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snapToGrid w:val="0"/>
              <w:ind w:left="142" w:right="120" w:hanging="142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t xml:space="preserve">  9. Объем предоставленных документов и сведений для участия в аукционе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t>в объеме, указанном  в  документации  об 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97" w:rsidRPr="00615E97" w:rsidRDefault="00615E97" w:rsidP="00615E97">
            <w:pPr>
              <w:snapToGrid w:val="0"/>
              <w:ind w:left="11"/>
              <w:jc w:val="center"/>
              <w:rPr>
                <w:color w:val="000000"/>
                <w:sz w:val="16"/>
                <w:szCs w:val="16"/>
              </w:rPr>
            </w:pPr>
            <w:r w:rsidRPr="00615E97">
              <w:rPr>
                <w:color w:val="000000"/>
                <w:sz w:val="16"/>
                <w:szCs w:val="16"/>
              </w:rPr>
              <w:t>Предоставлено в полном объеме</w:t>
            </w:r>
          </w:p>
        </w:tc>
      </w:tr>
      <w:tr w:rsidR="00615E97" w:rsidRPr="00615E97" w:rsidTr="00615E97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97" w:rsidRPr="00615E97" w:rsidRDefault="00615E97" w:rsidP="00615E97">
            <w:pPr>
              <w:widowControl w:val="0"/>
              <w:ind w:left="142"/>
              <w:rPr>
                <w:sz w:val="16"/>
                <w:szCs w:val="16"/>
                <w:lang w:eastAsia="en-US"/>
              </w:rPr>
            </w:pPr>
            <w:r w:rsidRPr="00615E97">
              <w:rPr>
                <w:sz w:val="16"/>
                <w:szCs w:val="16"/>
                <w:lang w:eastAsia="en-US"/>
              </w:rPr>
              <w:t xml:space="preserve">10. Начальная (максимальная) цена договора — </w:t>
            </w:r>
            <w:r w:rsidRPr="00615E97">
              <w:rPr>
                <w:b/>
                <w:sz w:val="16"/>
                <w:szCs w:val="16"/>
                <w:lang w:eastAsia="en-US"/>
              </w:rPr>
              <w:t xml:space="preserve"> 62 625 рублей  81 копейка</w:t>
            </w:r>
          </w:p>
        </w:tc>
      </w:tr>
    </w:tbl>
    <w:p w:rsidR="00615E97" w:rsidRDefault="00615E97" w:rsidP="00615E97">
      <w:pPr>
        <w:ind w:left="426"/>
      </w:pPr>
    </w:p>
    <w:p w:rsidR="00557D41" w:rsidRDefault="00557D41" w:rsidP="00557D41"/>
    <w:p w:rsidR="006A793A" w:rsidRDefault="006A793A"/>
    <w:sectPr w:rsidR="006A793A" w:rsidSect="00713B30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68505F5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44DC70E7"/>
    <w:multiLevelType w:val="hybridMultilevel"/>
    <w:tmpl w:val="462C9612"/>
    <w:lvl w:ilvl="0" w:tplc="6F08FB8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18"/>
    <w:rsid w:val="003B7F6D"/>
    <w:rsid w:val="003E4E18"/>
    <w:rsid w:val="00557D41"/>
    <w:rsid w:val="005D47BB"/>
    <w:rsid w:val="00615E97"/>
    <w:rsid w:val="006A793A"/>
    <w:rsid w:val="00713B30"/>
    <w:rsid w:val="00823F29"/>
    <w:rsid w:val="009F0B66"/>
    <w:rsid w:val="00B65A02"/>
    <w:rsid w:val="00BB75D2"/>
    <w:rsid w:val="00BD714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4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7D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7D41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table" w:styleId="a5">
    <w:name w:val="Table Grid"/>
    <w:basedOn w:val="a1"/>
    <w:uiPriority w:val="59"/>
    <w:rsid w:val="00615E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4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7D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7D41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table" w:styleId="a5">
    <w:name w:val="Table Grid"/>
    <w:basedOn w:val="a1"/>
    <w:uiPriority w:val="59"/>
    <w:rsid w:val="00615E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2017-07-10T13:35:00Z</cp:lastPrinted>
  <dcterms:created xsi:type="dcterms:W3CDTF">2017-07-07T05:06:00Z</dcterms:created>
  <dcterms:modified xsi:type="dcterms:W3CDTF">2017-07-10T13:36:00Z</dcterms:modified>
</cp:coreProperties>
</file>