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6F663C">
        <w:rPr>
          <w:sz w:val="24"/>
          <w:szCs w:val="24"/>
        </w:rPr>
        <w:t>1</w:t>
      </w:r>
      <w:r w:rsidR="003D1E55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6F663C">
        <w:rPr>
          <w:sz w:val="24"/>
          <w:szCs w:val="24"/>
        </w:rPr>
        <w:t>5</w:t>
      </w:r>
      <w:r w:rsidR="003D1E55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F663C" w:rsidRPr="003D1E5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</w:t>
      </w:r>
      <w:r w:rsidRPr="006F663C">
        <w:rPr>
          <w:rFonts w:ascii="PT Astra Serif" w:hAnsi="PT Astra Serif"/>
          <w:spacing w:val="-6"/>
          <w:sz w:val="24"/>
          <w:szCs w:val="24"/>
        </w:rPr>
        <w:t>035</w:t>
      </w:r>
      <w:r w:rsidR="003D1E55">
        <w:rPr>
          <w:rFonts w:ascii="PT Astra Serif" w:hAnsi="PT Astra Serif"/>
          <w:spacing w:val="-6"/>
          <w:sz w:val="24"/>
          <w:szCs w:val="24"/>
        </w:rPr>
        <w:t>9</w:t>
      </w:r>
      <w:r w:rsidRPr="006F663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D1E55" w:rsidRPr="003D1E55">
        <w:rPr>
          <w:rFonts w:ascii="PT Astra Serif" w:hAnsi="PT Astra Serif"/>
          <w:bCs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r w:rsidR="003D1E55" w:rsidRPr="003D1E55">
        <w:rPr>
          <w:rFonts w:ascii="PT Astra Serif" w:hAnsi="PT Astra Serif"/>
          <w:bCs/>
          <w:sz w:val="24"/>
          <w:szCs w:val="24"/>
        </w:rPr>
        <w:t xml:space="preserve"> </w:t>
      </w:r>
      <w:r w:rsidRPr="003D1E55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поставку продуктов питания </w:t>
      </w:r>
      <w:r w:rsidR="003D1E55" w:rsidRPr="003D1E55">
        <w:rPr>
          <w:rFonts w:ascii="PT Astra Serif" w:hAnsi="PT Astra Serif"/>
          <w:sz w:val="24"/>
          <w:szCs w:val="24"/>
        </w:rPr>
        <w:t>(молочная продукция)</w:t>
      </w:r>
      <w:r w:rsidR="003D1E55" w:rsidRPr="003D1E55">
        <w:rPr>
          <w:rFonts w:ascii="PT Astra Serif" w:hAnsi="PT Astra Serif"/>
          <w:sz w:val="24"/>
          <w:szCs w:val="24"/>
        </w:rPr>
        <w:t>.</w:t>
      </w:r>
    </w:p>
    <w:p w:rsidR="006F663C" w:rsidRPr="003D1E5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D1E5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D1E5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D1E5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D1E55">
        <w:rPr>
          <w:rFonts w:ascii="PT Astra Serif" w:hAnsi="PT Astra Serif"/>
          <w:bCs/>
          <w:sz w:val="24"/>
          <w:szCs w:val="24"/>
        </w:rPr>
        <w:t>, код аукциона 018730000582200035</w:t>
      </w:r>
      <w:r w:rsidR="003D1E55" w:rsidRPr="003D1E55">
        <w:rPr>
          <w:rFonts w:ascii="PT Astra Serif" w:hAnsi="PT Astra Serif"/>
          <w:bCs/>
          <w:sz w:val="24"/>
          <w:szCs w:val="24"/>
        </w:rPr>
        <w:t>9</w:t>
      </w:r>
      <w:r w:rsidRPr="003D1E55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3D1E5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D1E5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D1E55" w:rsidRPr="003D1E55">
        <w:rPr>
          <w:rFonts w:ascii="PT Astra Serif" w:hAnsi="PT Astra Serif"/>
          <w:sz w:val="24"/>
          <w:szCs w:val="24"/>
        </w:rPr>
        <w:t>223862200101186220100100470011051244</w:t>
      </w:r>
      <w:r w:rsidRPr="003D1E55">
        <w:rPr>
          <w:rFonts w:ascii="PT Astra Serif" w:hAnsi="PT Astra Serif"/>
          <w:sz w:val="24"/>
          <w:szCs w:val="24"/>
        </w:rPr>
        <w:t>.</w:t>
      </w:r>
    </w:p>
    <w:p w:rsidR="006F663C" w:rsidRPr="00FC4E6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C4E65">
        <w:rPr>
          <w:rFonts w:ascii="PT Astra Serif" w:hAnsi="PT Astra Serif"/>
          <w:sz w:val="24"/>
          <w:szCs w:val="24"/>
        </w:rPr>
        <w:t xml:space="preserve">2.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</w:t>
      </w:r>
      <w:r w:rsidR="003D1E55">
        <w:rPr>
          <w:rFonts w:ascii="PT Astra Serif" w:eastAsia="Calibri" w:hAnsi="PT Astra Serif" w:cs="Calibri"/>
          <w:color w:val="000000"/>
          <w:sz w:val="24"/>
          <w:szCs w:val="24"/>
        </w:rPr>
        <w:t>431 841</w:t>
      </w:r>
      <w:r w:rsidRPr="00FC4E6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D1E55">
        <w:rPr>
          <w:rFonts w:ascii="PT Astra Serif" w:hAnsi="PT Astra Serif"/>
          <w:snapToGrid w:val="0"/>
          <w:color w:val="000000"/>
          <w:sz w:val="24"/>
          <w:szCs w:val="24"/>
        </w:rPr>
        <w:t>ь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3D1E55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</w:t>
      </w:r>
      <w:bookmarkStart w:id="0" w:name="_GoBack"/>
      <w:bookmarkEnd w:id="0"/>
      <w:r w:rsidRPr="00617DE8">
        <w:rPr>
          <w:rFonts w:ascii="PT Astra Serif" w:hAnsi="PT Astra Serif"/>
          <w:sz w:val="24"/>
          <w:szCs w:val="24"/>
        </w:rPr>
        <w:t>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663C">
        <w:rPr>
          <w:rFonts w:ascii="PT Astra Serif" w:hAnsi="PT Astra Serif"/>
          <w:sz w:val="24"/>
          <w:szCs w:val="24"/>
        </w:rPr>
        <w:t>1</w:t>
      </w:r>
      <w:r w:rsidR="003D1E55">
        <w:rPr>
          <w:rFonts w:ascii="PT Astra Serif" w:hAnsi="PT Astra Serif"/>
          <w:sz w:val="24"/>
          <w:szCs w:val="24"/>
        </w:rPr>
        <w:t>05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</w:t>
      </w:r>
      <w:proofErr w:type="gramStart"/>
      <w:r w:rsidRPr="00617DE8">
        <w:rPr>
          <w:rFonts w:ascii="PT Astra Serif" w:hAnsi="PT Astra Serif"/>
          <w:sz w:val="24"/>
          <w:szCs w:val="24"/>
        </w:rPr>
        <w:t>контрактной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F663C">
        <w:rPr>
          <w:rFonts w:ascii="PT Astra Serif" w:hAnsi="PT Astra Serif"/>
          <w:bCs/>
          <w:sz w:val="24"/>
          <w:szCs w:val="24"/>
        </w:rPr>
        <w:t>1</w:t>
      </w:r>
      <w:r w:rsidR="003D1E55">
        <w:rPr>
          <w:rFonts w:ascii="PT Astra Serif" w:hAnsi="PT Astra Serif"/>
          <w:bCs/>
          <w:sz w:val="24"/>
          <w:szCs w:val="24"/>
        </w:rPr>
        <w:t>05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6F663C">
        <w:rPr>
          <w:rFonts w:ascii="PT Astra Serif" w:hAnsi="PT Astra Serif"/>
          <w:sz w:val="24"/>
          <w:szCs w:val="24"/>
        </w:rPr>
        <w:t>О.В.</w:t>
      </w:r>
      <w:r w:rsidR="00AF4F21">
        <w:rPr>
          <w:rFonts w:ascii="PT Astra Serif" w:hAnsi="PT Astra Serif"/>
          <w:sz w:val="24"/>
          <w:szCs w:val="24"/>
        </w:rPr>
        <w:t xml:space="preserve"> </w:t>
      </w:r>
      <w:r w:rsidR="006F663C">
        <w:rPr>
          <w:rFonts w:ascii="PT Astra Serif" w:hAnsi="PT Astra Serif"/>
          <w:sz w:val="24"/>
          <w:szCs w:val="24"/>
        </w:rPr>
        <w:t>Смирнова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77</cp:revision>
  <cp:lastPrinted>2022-12-13T05:11:00Z</cp:lastPrinted>
  <dcterms:created xsi:type="dcterms:W3CDTF">2022-02-22T06:44:00Z</dcterms:created>
  <dcterms:modified xsi:type="dcterms:W3CDTF">2022-12-14T11:58:00Z</dcterms:modified>
</cp:coreProperties>
</file>