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80" w:rsidRDefault="00FC0180" w:rsidP="00FC0180">
      <w:pPr>
        <w:jc w:val="center"/>
        <w:rPr>
          <w:b/>
        </w:rPr>
      </w:pPr>
      <w:r>
        <w:rPr>
          <w:sz w:val="16"/>
          <w:szCs w:val="16"/>
        </w:rPr>
        <w:t xml:space="preserve">          </w:t>
      </w:r>
      <w:r>
        <w:rPr>
          <w:b/>
        </w:rPr>
        <w:t>Муниципальное образование  городской округ – город Югорск</w:t>
      </w:r>
    </w:p>
    <w:p w:rsidR="00FC0180" w:rsidRDefault="00FC0180" w:rsidP="00FC0180">
      <w:pPr>
        <w:jc w:val="center"/>
        <w:rPr>
          <w:b/>
        </w:rPr>
      </w:pPr>
      <w:r>
        <w:rPr>
          <w:b/>
        </w:rPr>
        <w:t>Администрация города Югорска</w:t>
      </w:r>
    </w:p>
    <w:p w:rsidR="00FC0180" w:rsidRDefault="00FC0180" w:rsidP="00FC0180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FC0180" w:rsidRDefault="00FC0180" w:rsidP="00FC0180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FC0180" w:rsidRDefault="00FC0180" w:rsidP="00FC0180">
      <w:pPr>
        <w:jc w:val="center"/>
        <w:rPr>
          <w:b/>
        </w:rPr>
      </w:pPr>
    </w:p>
    <w:p w:rsidR="00FC0180" w:rsidRDefault="00FC0180" w:rsidP="00FC0180">
      <w:pPr>
        <w:ind w:left="-426"/>
        <w:jc w:val="center"/>
        <w:rPr>
          <w:b/>
        </w:rPr>
      </w:pPr>
      <w:r>
        <w:t xml:space="preserve">         «20» июня 2017 г.                                                                                        № 01873000058170000170-1</w:t>
      </w:r>
    </w:p>
    <w:p w:rsidR="00FC0180" w:rsidRDefault="00FC0180" w:rsidP="00FC0180">
      <w:pPr>
        <w:jc w:val="both"/>
        <w:rPr>
          <w:rFonts w:eastAsia="Andale Sans UI"/>
          <w:noProof/>
          <w:lang w:eastAsia="fa-IR" w:bidi="fa-IR"/>
        </w:rPr>
      </w:pPr>
      <w:r>
        <w:rPr>
          <w:rFonts w:eastAsia="Andale Sans UI"/>
          <w:noProof/>
          <w:lang w:eastAsia="fa-IR" w:bidi="fa-IR"/>
        </w:rPr>
        <w:t xml:space="preserve">ПРИСУТСТВОВАЛИ: </w:t>
      </w:r>
    </w:p>
    <w:p w:rsidR="00FC0180" w:rsidRDefault="00FC0180" w:rsidP="00FC0180">
      <w:pPr>
        <w:jc w:val="both"/>
        <w:rPr>
          <w:rFonts w:eastAsia="Andale Sans UI"/>
          <w:noProof/>
          <w:lang w:eastAsia="fa-IR" w:bidi="fa-IR"/>
        </w:rPr>
      </w:pPr>
      <w:r>
        <w:rPr>
          <w:rFonts w:eastAsia="Andale Sans UI"/>
          <w:noProof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FC0180" w:rsidRDefault="00FC0180" w:rsidP="00FC0180">
      <w:pPr>
        <w:rPr>
          <w:kern w:val="0"/>
          <w:lang w:eastAsia="ru-RU"/>
        </w:rPr>
      </w:pPr>
      <w:r>
        <w:t>1. С.Д. Голин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FC0180" w:rsidRDefault="00FC0180" w:rsidP="00FC0180">
      <w:r>
        <w:t>2. Н.А. Морозова – советник руководителя;</w:t>
      </w:r>
    </w:p>
    <w:p w:rsidR="00FC0180" w:rsidRDefault="00FC0180" w:rsidP="00FC0180">
      <w:r>
        <w:t>3. Т.И. Долгодворова - заместитель главы города Югорска;</w:t>
      </w:r>
    </w:p>
    <w:p w:rsidR="00FC0180" w:rsidRDefault="00FC0180" w:rsidP="00FC0180">
      <w:r>
        <w:t>4.А.Т.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FC0180" w:rsidRDefault="00FC0180" w:rsidP="00FC0180">
      <w:pPr>
        <w:jc w:val="both"/>
      </w:pPr>
      <w:r>
        <w:t>5. Н.Б. Захарова - начальник отдела муниципальных закупок управления экономической политики администрации города Югорска.</w:t>
      </w:r>
    </w:p>
    <w:p w:rsidR="00FC0180" w:rsidRPr="00122554" w:rsidRDefault="00FC0180" w:rsidP="00FC0180">
      <w:pPr>
        <w:jc w:val="both"/>
      </w:pPr>
      <w:r>
        <w:t>Всего присутствовали 5 членов комиссии из 8.</w:t>
      </w:r>
    </w:p>
    <w:p w:rsidR="00FC0180" w:rsidRDefault="00FC0180" w:rsidP="00FC0180">
      <w:pPr>
        <w:jc w:val="both"/>
      </w:pPr>
      <w:r>
        <w:t xml:space="preserve">Представитель заказчика: </w:t>
      </w:r>
      <w:r w:rsidR="00122554" w:rsidRPr="00122554">
        <w:t>Сметанина Екатерина Николаевна, специалист 1 категории производственно-аналитического отдела департамента жилищно-коммунального и строительного комплекса администрации города Югорска</w:t>
      </w:r>
      <w:r>
        <w:t>.</w:t>
      </w:r>
    </w:p>
    <w:p w:rsidR="00FC0180" w:rsidRPr="00FC0180" w:rsidRDefault="00FC0180" w:rsidP="00FC0180">
      <w:pPr>
        <w:jc w:val="both"/>
      </w:pPr>
      <w:r>
        <w:t xml:space="preserve">1. Наименование аукциона: аукцион в электронной форме № 0187300005817000170 </w:t>
      </w:r>
      <w:bookmarkStart w:id="0" w:name="_GoBack"/>
      <w:r w:rsidRPr="00FC0180">
        <w:t>для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вешалок на объект: «Физкультурно-спортивный комплекс с универсальным игровым залом в городе Югорске»</w:t>
      </w:r>
      <w:bookmarkEnd w:id="0"/>
      <w:r w:rsidRPr="00FC0180">
        <w:t>.</w:t>
      </w:r>
    </w:p>
    <w:p w:rsidR="00FC0180" w:rsidRPr="00FC0180" w:rsidRDefault="00FC0180" w:rsidP="00FC0180">
      <w:pPr>
        <w:jc w:val="both"/>
      </w:pPr>
      <w:r>
        <w:t xml:space="preserve">1.1 Номер извещения о проведении торгов на официальном сайте – </w:t>
      </w:r>
      <w:hyperlink r:id="rId6" w:history="1">
        <w:r w:rsidRPr="00FC0180">
          <w:t>http://zakupki.gov.ru/</w:t>
        </w:r>
      </w:hyperlink>
      <w:r>
        <w:t>, код аукциона 0187300005817000170, дата публикации 06.06.2017. Идентификационный код закупки:</w:t>
      </w:r>
      <w:r w:rsidRPr="00FC0180">
        <w:t xml:space="preserve"> 173862201231086220100101110053109414</w:t>
      </w:r>
      <w:r>
        <w:t>.</w:t>
      </w:r>
    </w:p>
    <w:p w:rsidR="00FC0180" w:rsidRDefault="00FC0180" w:rsidP="00FC0180">
      <w:pPr>
        <w:jc w:val="both"/>
      </w:pPr>
      <w:r>
        <w:t>2. Заказчик: Департамент жилищно-коммунального и строительного комплекса администрации города Югорска. Почтовый адрес: 628260, ул. Механизаторов, 22, г. Югорск, Ханты-Мансийский автономный округ – Югра.</w:t>
      </w:r>
    </w:p>
    <w:p w:rsidR="00FC0180" w:rsidRDefault="00FC0180" w:rsidP="00FC0180">
      <w:pPr>
        <w:jc w:val="both"/>
      </w:pPr>
      <w:r>
        <w:t>3. Процедура рассмотрения первых частей заявок на участие в аукционе была проведена комиссией в 10.00 часов 20 июня 2017 года, по адресу: ул. 40 лет Победы, 11, г. Югорск, Ханты-Мансийский  автономный  округ-Югра, Тюменская область.</w:t>
      </w:r>
    </w:p>
    <w:p w:rsidR="00FC0180" w:rsidRDefault="00FC0180" w:rsidP="00FC0180">
      <w:pPr>
        <w:ind w:left="142"/>
        <w:jc w:val="both"/>
      </w:pPr>
      <w:r>
        <w:t xml:space="preserve">4. Количество поступивших заявок на участие  в аукционе – </w:t>
      </w:r>
      <w:r w:rsidR="0071796E">
        <w:t>8</w:t>
      </w:r>
      <w:r>
        <w:t>.</w:t>
      </w:r>
      <w:r w:rsidR="0071796E">
        <w:t xml:space="preserve"> Отозваны заявки № 5, 7.</w:t>
      </w:r>
    </w:p>
    <w:p w:rsidR="00FC0180" w:rsidRDefault="00FC0180" w:rsidP="00FC0180">
      <w:pPr>
        <w:ind w:left="142"/>
        <w:jc w:val="both"/>
      </w:pPr>
      <w:r>
        <w:t xml:space="preserve">5. Комиссия рассмотрела первые части заявок и приняла следующее решение: </w:t>
      </w:r>
    </w:p>
    <w:tbl>
      <w:tblPr>
        <w:tblW w:w="4800" w:type="pct"/>
        <w:tblInd w:w="157" w:type="dxa"/>
        <w:tblLook w:val="00A0" w:firstRow="1" w:lastRow="0" w:firstColumn="1" w:lastColumn="0" w:noHBand="0" w:noVBand="0"/>
      </w:tblPr>
      <w:tblGrid>
        <w:gridCol w:w="1852"/>
        <w:gridCol w:w="3128"/>
        <w:gridCol w:w="5118"/>
      </w:tblGrid>
      <w:tr w:rsidR="00FC0180" w:rsidTr="00122554"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180" w:rsidRDefault="00FC01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Порядковый номер заявки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180" w:rsidRDefault="00FC01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0180" w:rsidRDefault="00FC01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отказа в допуске</w:t>
            </w:r>
          </w:p>
        </w:tc>
      </w:tr>
      <w:tr w:rsidR="00FC0180" w:rsidTr="00122554">
        <w:trPr>
          <w:trHeight w:val="530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180" w:rsidRPr="0071796E" w:rsidRDefault="00FC0180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71796E">
              <w:rPr>
                <w:lang w:eastAsia="en-US"/>
              </w:rPr>
              <w:t>1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180" w:rsidRDefault="0071796E">
            <w:pPr>
              <w:widowControl w:val="0"/>
              <w:spacing w:line="276" w:lineRule="auto"/>
              <w:jc w:val="center"/>
              <w:rPr>
                <w:spacing w:val="-6"/>
                <w:sz w:val="18"/>
                <w:szCs w:val="18"/>
                <w:highlight w:val="yellow"/>
                <w:lang w:eastAsia="en-US"/>
              </w:rPr>
            </w:pPr>
            <w:r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180" w:rsidRDefault="00FC0180">
            <w:pPr>
              <w:widowControl w:val="0"/>
              <w:spacing w:line="276" w:lineRule="auto"/>
              <w:jc w:val="both"/>
              <w:rPr>
                <w:color w:val="FF0000"/>
                <w:spacing w:val="-6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FC0180" w:rsidTr="00122554">
        <w:trPr>
          <w:trHeight w:val="11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180" w:rsidRPr="0071796E" w:rsidRDefault="00FC0180">
            <w:pPr>
              <w:spacing w:line="276" w:lineRule="auto"/>
              <w:jc w:val="center"/>
              <w:rPr>
                <w:lang w:eastAsia="en-US"/>
              </w:rPr>
            </w:pPr>
            <w:r w:rsidRPr="0071796E">
              <w:rPr>
                <w:lang w:eastAsia="en-US"/>
              </w:rPr>
              <w:t>2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180" w:rsidRDefault="00FC0180">
            <w:pPr>
              <w:spacing w:line="276" w:lineRule="auto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1796E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180" w:rsidRDefault="00FC0180">
            <w:pPr>
              <w:spacing w:line="276" w:lineRule="auto"/>
              <w:jc w:val="both"/>
              <w:rPr>
                <w:noProof/>
                <w:color w:val="C00000"/>
                <w:sz w:val="18"/>
                <w:szCs w:val="18"/>
              </w:rPr>
            </w:pPr>
          </w:p>
        </w:tc>
      </w:tr>
      <w:tr w:rsidR="006A21AD" w:rsidTr="00122554">
        <w:trPr>
          <w:trHeight w:val="11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1AD" w:rsidRPr="0071796E" w:rsidRDefault="006A21AD">
            <w:pPr>
              <w:spacing w:line="276" w:lineRule="auto"/>
              <w:jc w:val="center"/>
              <w:rPr>
                <w:lang w:eastAsia="en-US"/>
              </w:rPr>
            </w:pPr>
            <w:r w:rsidRPr="0071796E">
              <w:rPr>
                <w:lang w:eastAsia="en-US"/>
              </w:rPr>
              <w:t>3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AD" w:rsidRDefault="006A21AD" w:rsidP="006A21AD">
            <w:pPr>
              <w:jc w:val="center"/>
            </w:pPr>
            <w:r w:rsidRPr="0026737D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AD" w:rsidRDefault="006A21AD" w:rsidP="000E0A1C">
            <w:pPr>
              <w:widowControl w:val="0"/>
              <w:spacing w:line="276" w:lineRule="auto"/>
              <w:jc w:val="both"/>
              <w:rPr>
                <w:color w:val="FF0000"/>
                <w:spacing w:val="-6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A21AD" w:rsidTr="00122554">
        <w:trPr>
          <w:trHeight w:val="11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1AD" w:rsidRPr="0071796E" w:rsidRDefault="006A21AD">
            <w:pPr>
              <w:spacing w:line="276" w:lineRule="auto"/>
              <w:jc w:val="center"/>
              <w:rPr>
                <w:lang w:eastAsia="en-US"/>
              </w:rPr>
            </w:pPr>
            <w:r w:rsidRPr="0071796E">
              <w:rPr>
                <w:lang w:eastAsia="en-US"/>
              </w:rPr>
              <w:t>4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AD" w:rsidRDefault="006A21AD" w:rsidP="006A21AD">
            <w:pPr>
              <w:jc w:val="center"/>
            </w:pPr>
            <w:r w:rsidRPr="0026737D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AD" w:rsidRDefault="006A21AD">
            <w:pPr>
              <w:spacing w:line="276" w:lineRule="auto"/>
              <w:jc w:val="both"/>
              <w:rPr>
                <w:noProof/>
                <w:color w:val="C00000"/>
                <w:sz w:val="18"/>
                <w:szCs w:val="18"/>
              </w:rPr>
            </w:pPr>
          </w:p>
        </w:tc>
      </w:tr>
      <w:tr w:rsidR="006A21AD" w:rsidTr="00122554">
        <w:trPr>
          <w:trHeight w:val="11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1AD" w:rsidRPr="0071796E" w:rsidRDefault="006A21AD">
            <w:pPr>
              <w:spacing w:line="276" w:lineRule="auto"/>
              <w:jc w:val="center"/>
              <w:rPr>
                <w:lang w:eastAsia="en-US"/>
              </w:rPr>
            </w:pPr>
            <w:r w:rsidRPr="0071796E">
              <w:rPr>
                <w:lang w:eastAsia="en-US"/>
              </w:rPr>
              <w:t>6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AD" w:rsidRDefault="006A21AD" w:rsidP="006A21AD">
            <w:pPr>
              <w:jc w:val="center"/>
            </w:pPr>
            <w:r w:rsidRPr="0026737D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AD" w:rsidRDefault="006A21AD">
            <w:pPr>
              <w:spacing w:line="276" w:lineRule="auto"/>
              <w:jc w:val="both"/>
              <w:rPr>
                <w:noProof/>
                <w:color w:val="C00000"/>
                <w:sz w:val="18"/>
                <w:szCs w:val="18"/>
              </w:rPr>
            </w:pPr>
          </w:p>
        </w:tc>
      </w:tr>
      <w:tr w:rsidR="006A21AD" w:rsidTr="00122554">
        <w:trPr>
          <w:trHeight w:val="11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1AD" w:rsidRPr="00122554" w:rsidRDefault="006A21AD">
            <w:pPr>
              <w:spacing w:line="276" w:lineRule="auto"/>
              <w:jc w:val="center"/>
              <w:rPr>
                <w:lang w:eastAsia="en-US"/>
              </w:rPr>
            </w:pPr>
            <w:r w:rsidRPr="00122554">
              <w:rPr>
                <w:lang w:eastAsia="en-US"/>
              </w:rPr>
              <w:t>8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1AD" w:rsidRPr="00122554" w:rsidRDefault="006A21AD">
            <w:pPr>
              <w:widowControl w:val="0"/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122554">
              <w:rPr>
                <w:spacing w:val="-6"/>
                <w:sz w:val="18"/>
                <w:szCs w:val="18"/>
              </w:rPr>
              <w:t>отказать в допуске к участию в аукционе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2554" w:rsidRDefault="00122554" w:rsidP="00122554">
            <w:pPr>
              <w:suppressAutoHyphens w:val="0"/>
              <w:ind w:left="22" w:right="-39"/>
              <w:jc w:val="both"/>
              <w:rPr>
                <w:noProof/>
              </w:rPr>
            </w:pPr>
            <w:r w:rsidRPr="005B418E">
              <w:rPr>
                <w:noProof/>
              </w:rPr>
              <w:t xml:space="preserve">1. </w:t>
            </w:r>
            <w:r>
              <w:rPr>
                <w:noProof/>
              </w:rPr>
              <w:t>На основании  подпункта 1 части 4 статьи 67 Федерального закона от 05.04.2013 № 44-ФЗ за непредоставление информации, предусмотренной частью 3 статьи 66 Федерального закона от 05.04.2013 №44-ФЗ,  а именно</w:t>
            </w:r>
            <w:r>
              <w:rPr>
                <w:noProof/>
              </w:rPr>
              <w:t>:</w:t>
            </w:r>
          </w:p>
          <w:p w:rsidR="00122554" w:rsidRPr="005B418E" w:rsidRDefault="00122554" w:rsidP="00122554">
            <w:pPr>
              <w:suppressAutoHyphens w:val="0"/>
              <w:ind w:left="33"/>
              <w:jc w:val="both"/>
              <w:rPr>
                <w:noProof/>
              </w:rPr>
            </w:pPr>
            <w:r w:rsidRPr="005B418E">
              <w:rPr>
                <w:noProof/>
              </w:rPr>
              <w:lastRenderedPageBreak/>
              <w:t xml:space="preserve">- </w:t>
            </w:r>
            <w:r w:rsidRPr="005B418E">
              <w:rPr>
                <w:noProof/>
              </w:rPr>
              <w:t>пункт 1</w:t>
            </w:r>
            <w:r w:rsidRPr="005B418E">
              <w:rPr>
                <w:noProof/>
              </w:rPr>
              <w:t xml:space="preserve"> «Стойка-вешалка напольная</w:t>
            </w:r>
            <w:r w:rsidR="005B418E">
              <w:rPr>
                <w:noProof/>
              </w:rPr>
              <w:t>»</w:t>
            </w:r>
            <w:r w:rsidRPr="005B418E">
              <w:rPr>
                <w:noProof/>
              </w:rPr>
              <w:t xml:space="preserve">: </w:t>
            </w:r>
            <w:r w:rsidR="005B418E" w:rsidRPr="005B418E">
              <w:rPr>
                <w:noProof/>
              </w:rPr>
              <w:t>отсут</w:t>
            </w:r>
            <w:r w:rsidR="005B418E">
              <w:rPr>
                <w:noProof/>
              </w:rPr>
              <w:t>ст</w:t>
            </w:r>
            <w:r w:rsidR="005B418E" w:rsidRPr="005B418E">
              <w:rPr>
                <w:noProof/>
              </w:rPr>
              <w:t xml:space="preserve">вует информация </w:t>
            </w:r>
            <w:r w:rsidRPr="005B418E">
              <w:rPr>
                <w:noProof/>
              </w:rPr>
              <w:t xml:space="preserve"> «В соответствии с ГОСТ  16371-2014»; </w:t>
            </w:r>
          </w:p>
          <w:p w:rsidR="005B418E" w:rsidRDefault="00122554" w:rsidP="005B418E">
            <w:pPr>
              <w:snapToGrid w:val="0"/>
              <w:jc w:val="both"/>
              <w:rPr>
                <w:noProof/>
              </w:rPr>
            </w:pPr>
            <w:r w:rsidRPr="005B418E">
              <w:rPr>
                <w:noProof/>
              </w:rPr>
              <w:t>- пункт 2</w:t>
            </w:r>
            <w:r w:rsidR="005B418E">
              <w:rPr>
                <w:noProof/>
              </w:rPr>
              <w:t xml:space="preserve"> «Вешалка настенная»</w:t>
            </w:r>
            <w:r w:rsidRPr="005B418E">
              <w:rPr>
                <w:noProof/>
              </w:rPr>
              <w:t xml:space="preserve">: </w:t>
            </w:r>
            <w:r w:rsidR="005B418E">
              <w:rPr>
                <w:noProof/>
              </w:rPr>
              <w:t>отсутствует информация  «В соответствии с ГОСТ  16371-2014»</w:t>
            </w:r>
            <w:r w:rsidRPr="005B418E">
              <w:rPr>
                <w:noProof/>
              </w:rPr>
              <w:t xml:space="preserve">; </w:t>
            </w:r>
          </w:p>
          <w:p w:rsidR="00122554" w:rsidRPr="005B418E" w:rsidRDefault="005B418E" w:rsidP="00122554">
            <w:pPr>
              <w:snapToGrid w:val="0"/>
              <w:jc w:val="both"/>
              <w:rPr>
                <w:noProof/>
              </w:rPr>
            </w:pPr>
            <w:r>
              <w:rPr>
                <w:noProof/>
              </w:rPr>
              <w:t>-</w:t>
            </w:r>
            <w:r w:rsidR="00122554" w:rsidRPr="005B418E">
              <w:rPr>
                <w:noProof/>
              </w:rPr>
              <w:t xml:space="preserve"> пункт 3</w:t>
            </w:r>
            <w:r>
              <w:rPr>
                <w:noProof/>
              </w:rPr>
              <w:t xml:space="preserve"> «Секция гардеробная»</w:t>
            </w:r>
            <w:r w:rsidR="00122554" w:rsidRPr="005B418E">
              <w:rPr>
                <w:noProof/>
              </w:rPr>
              <w:t xml:space="preserve">: </w:t>
            </w:r>
            <w:r>
              <w:rPr>
                <w:noProof/>
              </w:rPr>
              <w:t>отсутствует информация  «В соответствии с ГОСТ  16371-2014»</w:t>
            </w:r>
            <w:r>
              <w:rPr>
                <w:noProof/>
              </w:rPr>
              <w:t xml:space="preserve">, отсутвует характеристика </w:t>
            </w:r>
            <w:r w:rsidR="00122554" w:rsidRPr="005B418E">
              <w:rPr>
                <w:noProof/>
              </w:rPr>
              <w:t xml:space="preserve">«Цвет панели «Выбеленный дуб»; </w:t>
            </w:r>
          </w:p>
          <w:p w:rsidR="00122554" w:rsidRPr="005B418E" w:rsidRDefault="00122554" w:rsidP="00122554">
            <w:pPr>
              <w:snapToGrid w:val="0"/>
              <w:jc w:val="both"/>
              <w:rPr>
                <w:noProof/>
              </w:rPr>
            </w:pPr>
            <w:r w:rsidRPr="005B418E">
              <w:rPr>
                <w:noProof/>
              </w:rPr>
              <w:t>- пункт 4</w:t>
            </w:r>
            <w:r w:rsidR="005B418E">
              <w:rPr>
                <w:noProof/>
              </w:rPr>
              <w:t xml:space="preserve"> «Стойка гардеробная»</w:t>
            </w:r>
            <w:r w:rsidRPr="005B418E">
              <w:rPr>
                <w:noProof/>
              </w:rPr>
              <w:t xml:space="preserve">: </w:t>
            </w:r>
            <w:r w:rsidR="005B418E">
              <w:rPr>
                <w:noProof/>
              </w:rPr>
              <w:t>отсутствует информация  «В соответствии с ГОСТ  16371-2014»</w:t>
            </w:r>
            <w:r w:rsidRPr="005B418E">
              <w:rPr>
                <w:noProof/>
              </w:rPr>
              <w:t>.</w:t>
            </w:r>
          </w:p>
          <w:p w:rsidR="006A21AD" w:rsidRPr="005B418E" w:rsidRDefault="00122554" w:rsidP="00122554">
            <w:pPr>
              <w:suppressAutoHyphens w:val="0"/>
              <w:ind w:left="22" w:right="-39"/>
              <w:jc w:val="both"/>
              <w:rPr>
                <w:noProof/>
              </w:rPr>
            </w:pPr>
            <w:r w:rsidRPr="005B418E">
              <w:rPr>
                <w:noProof/>
              </w:rPr>
              <w:t xml:space="preserve">2. </w:t>
            </w:r>
            <w:r w:rsidR="006A21AD" w:rsidRPr="005B418E">
              <w:rPr>
                <w:noProof/>
              </w:rPr>
              <w:t>На основании  подпункта 2 части 4 статьи 67 Федерального закона от 05.04.2013 №44-ФЗ за несоответствие информации, предусмотренной частью 3 статьи 66 Федерального закона от 05.04.2013 №44-ФЗ,  а именно:</w:t>
            </w:r>
          </w:p>
          <w:p w:rsidR="006A21AD" w:rsidRPr="005B418E" w:rsidRDefault="006A21AD" w:rsidP="00122554">
            <w:pPr>
              <w:suppressAutoHyphens w:val="0"/>
              <w:ind w:left="22" w:right="-39"/>
              <w:jc w:val="both"/>
              <w:rPr>
                <w:noProof/>
              </w:rPr>
            </w:pPr>
            <w:r w:rsidRPr="00122554">
              <w:rPr>
                <w:noProof/>
              </w:rPr>
              <w:t>-</w:t>
            </w:r>
            <w:r w:rsidR="00122554" w:rsidRPr="005B418E">
              <w:rPr>
                <w:noProof/>
              </w:rPr>
              <w:t xml:space="preserve"> пункт 4</w:t>
            </w:r>
            <w:r w:rsidR="005B418E">
              <w:rPr>
                <w:noProof/>
              </w:rPr>
              <w:t xml:space="preserve"> </w:t>
            </w:r>
            <w:r w:rsidR="005B418E">
              <w:rPr>
                <w:noProof/>
              </w:rPr>
              <w:t>«Стойка гардеробная»</w:t>
            </w:r>
            <w:r w:rsidR="00122554" w:rsidRPr="005B418E">
              <w:rPr>
                <w:noProof/>
              </w:rPr>
              <w:t>: не соответствуют конкретные показатели используемого товара, в техническом задании документации об аукционе требуется:</w:t>
            </w:r>
            <w:r w:rsidR="00122554" w:rsidRPr="005B418E">
              <w:rPr>
                <w:noProof/>
              </w:rPr>
              <w:t xml:space="preserve"> </w:t>
            </w:r>
            <w:r w:rsidR="00122554" w:rsidRPr="005B418E">
              <w:rPr>
                <w:noProof/>
              </w:rPr>
              <w:t xml:space="preserve">«Цвет верхней части стойки: серый, боковые и нижние части «Выбеленный дуб», в заявке участника закупки </w:t>
            </w:r>
            <w:r w:rsidR="005B418E">
              <w:rPr>
                <w:noProof/>
              </w:rPr>
              <w:t>указана</w:t>
            </w:r>
            <w:r w:rsidR="00122554" w:rsidRPr="005B418E">
              <w:rPr>
                <w:noProof/>
              </w:rPr>
              <w:t xml:space="preserve"> характеристик</w:t>
            </w:r>
            <w:r w:rsidR="005B418E">
              <w:rPr>
                <w:noProof/>
              </w:rPr>
              <w:t>а</w:t>
            </w:r>
            <w:r w:rsidR="00122554" w:rsidRPr="005B418E">
              <w:rPr>
                <w:noProof/>
              </w:rPr>
              <w:t xml:space="preserve"> товара:«Цвет Венге».</w:t>
            </w:r>
          </w:p>
          <w:p w:rsidR="006A21AD" w:rsidRPr="005B418E" w:rsidRDefault="006A21AD" w:rsidP="00122554">
            <w:pPr>
              <w:ind w:right="127"/>
              <w:jc w:val="both"/>
              <w:rPr>
                <w:noProof/>
              </w:rPr>
            </w:pPr>
            <w:r w:rsidRPr="005B418E">
              <w:rPr>
                <w:noProof/>
              </w:rPr>
              <w:t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форме, Часть II. Техническое задание.</w:t>
            </w:r>
          </w:p>
          <w:p w:rsidR="006A21AD" w:rsidRPr="005B418E" w:rsidRDefault="006A21AD" w:rsidP="00122554">
            <w:pPr>
              <w:widowControl w:val="0"/>
              <w:jc w:val="both"/>
              <w:rPr>
                <w:noProof/>
              </w:rPr>
            </w:pPr>
            <w:r w:rsidRPr="005B418E">
              <w:rPr>
                <w:noProof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</w:tc>
      </w:tr>
      <w:tr w:rsidR="006A21AD" w:rsidTr="00122554">
        <w:trPr>
          <w:trHeight w:val="11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1AD" w:rsidRPr="0071796E" w:rsidRDefault="006A21AD">
            <w:pPr>
              <w:spacing w:line="276" w:lineRule="auto"/>
              <w:jc w:val="center"/>
              <w:rPr>
                <w:lang w:eastAsia="en-US"/>
              </w:rPr>
            </w:pPr>
            <w:r w:rsidRPr="0071796E">
              <w:rPr>
                <w:lang w:eastAsia="en-US"/>
              </w:rPr>
              <w:lastRenderedPageBreak/>
              <w:t>9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AD" w:rsidRDefault="006A21AD" w:rsidP="006A21AD">
            <w:pPr>
              <w:jc w:val="center"/>
            </w:pPr>
            <w:r w:rsidRPr="00FD3A28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AD" w:rsidRPr="005B418E" w:rsidRDefault="006A21AD" w:rsidP="005B418E">
            <w:pPr>
              <w:suppressAutoHyphens w:val="0"/>
              <w:ind w:left="22" w:right="-39"/>
              <w:jc w:val="both"/>
              <w:rPr>
                <w:noProof/>
              </w:rPr>
            </w:pPr>
          </w:p>
        </w:tc>
      </w:tr>
      <w:tr w:rsidR="006A21AD" w:rsidTr="00122554">
        <w:trPr>
          <w:trHeight w:val="11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1AD" w:rsidRPr="0071796E" w:rsidRDefault="006A21AD">
            <w:pPr>
              <w:spacing w:line="276" w:lineRule="auto"/>
              <w:jc w:val="center"/>
              <w:rPr>
                <w:lang w:eastAsia="en-US"/>
              </w:rPr>
            </w:pPr>
            <w:r w:rsidRPr="0071796E">
              <w:rPr>
                <w:lang w:eastAsia="en-US"/>
              </w:rPr>
              <w:t>10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AD" w:rsidRDefault="006A21AD" w:rsidP="006A21AD">
            <w:pPr>
              <w:jc w:val="center"/>
            </w:pPr>
            <w:r w:rsidRPr="00FD3A28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1AD" w:rsidRDefault="006A21AD">
            <w:pPr>
              <w:spacing w:line="276" w:lineRule="auto"/>
              <w:jc w:val="both"/>
              <w:rPr>
                <w:noProof/>
                <w:color w:val="C00000"/>
                <w:sz w:val="18"/>
                <w:szCs w:val="18"/>
              </w:rPr>
            </w:pPr>
          </w:p>
        </w:tc>
      </w:tr>
    </w:tbl>
    <w:p w:rsidR="00FC0180" w:rsidRDefault="00FC0180" w:rsidP="00FC0180">
      <w:pPr>
        <w:tabs>
          <w:tab w:val="left" w:pos="426"/>
          <w:tab w:val="left" w:pos="567"/>
        </w:tabs>
        <w:jc w:val="both"/>
      </w:pPr>
    </w:p>
    <w:p w:rsidR="00FC0180" w:rsidRDefault="00FC0180" w:rsidP="00FC0180">
      <w:pPr>
        <w:pStyle w:val="a6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2554">
        <w:rPr>
          <w:rFonts w:ascii="Times New Roman" w:hAnsi="Times New Roman"/>
          <w:sz w:val="24"/>
          <w:szCs w:val="24"/>
        </w:rPr>
        <w:t>6. Настоящий протокол подлежит размещению на сайте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  </w:t>
      </w:r>
      <w:hyperlink r:id="rId7" w:history="1">
        <w:r>
          <w:rPr>
            <w:rStyle w:val="a3"/>
            <w:rFonts w:ascii="Times New Roman" w:hAnsi="Times New Roman"/>
            <w:color w:val="auto"/>
            <w:u w:val="none"/>
          </w:rPr>
          <w:t>http://www.sberbank-ast.ru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FC0180" w:rsidRDefault="00FC0180" w:rsidP="00FC0180">
      <w:pPr>
        <w:rPr>
          <w:noProof/>
        </w:rPr>
      </w:pPr>
    </w:p>
    <w:p w:rsidR="00FC0180" w:rsidRDefault="00FC0180" w:rsidP="00FC0180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FC0180" w:rsidRDefault="00FC0180" w:rsidP="00FC0180">
      <w:pPr>
        <w:jc w:val="center"/>
        <w:rPr>
          <w:noProof/>
        </w:rPr>
      </w:pPr>
      <w:r>
        <w:rPr>
          <w:noProof/>
        </w:rPr>
        <w:t xml:space="preserve">членов комиссии о допуске участника закупки к участию в аукционе </w:t>
      </w:r>
    </w:p>
    <w:p w:rsidR="00FC0180" w:rsidRDefault="00FC0180" w:rsidP="00FC0180">
      <w:pPr>
        <w:jc w:val="center"/>
        <w:rPr>
          <w:noProof/>
        </w:rPr>
      </w:pPr>
      <w:r>
        <w:rPr>
          <w:noProof/>
        </w:rPr>
        <w:t>или об отказе их  в допуске к участию в аукционе</w:t>
      </w:r>
    </w:p>
    <w:p w:rsidR="00FC0180" w:rsidRDefault="00FC0180" w:rsidP="00FC0180">
      <w:pPr>
        <w:jc w:val="both"/>
        <w:rPr>
          <w:noProof/>
        </w:rPr>
      </w:pP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2"/>
        <w:gridCol w:w="1843"/>
        <w:gridCol w:w="2835"/>
      </w:tblGrid>
      <w:tr w:rsidR="00FC0180" w:rsidTr="00FC0180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80" w:rsidRDefault="00FC0180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Решение члена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80" w:rsidRDefault="00FC0180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Подпись члена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80" w:rsidRDefault="00FC0180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Состав комиссии</w:t>
            </w:r>
          </w:p>
        </w:tc>
      </w:tr>
      <w:tr w:rsidR="00FC0180" w:rsidTr="00FC0180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80" w:rsidRDefault="00FC0180">
            <w:pPr>
              <w:spacing w:after="60" w:line="276" w:lineRule="auto"/>
              <w:rPr>
                <w:noProof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0" w:rsidRDefault="00FC0180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80" w:rsidRDefault="00FC0180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С.Д. Голин</w:t>
            </w:r>
          </w:p>
        </w:tc>
      </w:tr>
      <w:tr w:rsidR="00FC0180" w:rsidTr="00FC0180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80" w:rsidRDefault="00FC018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 xml:space="preserve">Мое решение о допуске участника закупки к участию в аукционе или об отказе в допуске к участию в  аукционе совпадает с решением, указанным в пункте 5 </w:t>
            </w:r>
            <w:r>
              <w:rPr>
                <w:noProof/>
                <w:sz w:val="16"/>
                <w:szCs w:val="16"/>
                <w:lang w:eastAsia="en-US"/>
              </w:rPr>
              <w:lastRenderedPageBreak/>
              <w:t>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0" w:rsidRDefault="00FC0180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80" w:rsidRDefault="00FC01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Н.А. Морозова</w:t>
            </w:r>
          </w:p>
        </w:tc>
      </w:tr>
      <w:tr w:rsidR="00FC0180" w:rsidTr="00FC0180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80" w:rsidRDefault="00FC01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0" w:rsidRDefault="00FC0180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80" w:rsidRDefault="00FC01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Т.И. Долгодворова</w:t>
            </w:r>
          </w:p>
        </w:tc>
      </w:tr>
      <w:tr w:rsidR="00FC0180" w:rsidTr="00FC0180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80" w:rsidRDefault="00FC018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0" w:rsidRDefault="00FC0180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80" w:rsidRDefault="00FC01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А.Т. Абдуллаев</w:t>
            </w:r>
          </w:p>
        </w:tc>
      </w:tr>
      <w:tr w:rsidR="00FC0180" w:rsidTr="00FC0180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80" w:rsidRDefault="00FC018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0" w:rsidRDefault="00FC0180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80" w:rsidRDefault="00FC01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FC0180" w:rsidRDefault="00FC0180" w:rsidP="00FC0180">
      <w:pPr>
        <w:rPr>
          <w:b/>
        </w:rPr>
      </w:pPr>
    </w:p>
    <w:p w:rsidR="00FC0180" w:rsidRDefault="00FC0180" w:rsidP="00FC0180">
      <w:pPr>
        <w:ind w:left="284"/>
        <w:rPr>
          <w:b/>
        </w:rPr>
      </w:pPr>
    </w:p>
    <w:p w:rsidR="00FC0180" w:rsidRDefault="00FC0180" w:rsidP="00FC0180">
      <w:pPr>
        <w:ind w:left="142"/>
        <w:jc w:val="both"/>
        <w:rPr>
          <w:b/>
        </w:rPr>
      </w:pPr>
      <w:r>
        <w:rPr>
          <w:b/>
        </w:rPr>
        <w:t>Председатель комиссии:                                                                                С.Д. Голин</w:t>
      </w:r>
    </w:p>
    <w:p w:rsidR="00FC0180" w:rsidRDefault="00FC0180" w:rsidP="00FC0180">
      <w:pPr>
        <w:ind w:left="142"/>
        <w:jc w:val="both"/>
        <w:rPr>
          <w:b/>
        </w:rPr>
      </w:pPr>
    </w:p>
    <w:p w:rsidR="00FC0180" w:rsidRDefault="00FC0180" w:rsidP="00FC0180">
      <w:pPr>
        <w:ind w:left="142"/>
        <w:rPr>
          <w:b/>
        </w:rPr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FC0180" w:rsidRDefault="00FC0180" w:rsidP="00FC0180"/>
    <w:p w:rsidR="00FC0180" w:rsidRDefault="00FC0180" w:rsidP="00FC0180">
      <w:pPr>
        <w:ind w:left="142"/>
        <w:jc w:val="right"/>
      </w:pPr>
      <w:r>
        <w:t xml:space="preserve">                                                                ____________________Н.А. Морозова</w:t>
      </w:r>
    </w:p>
    <w:p w:rsidR="00FC0180" w:rsidRDefault="00FC0180" w:rsidP="00FC0180">
      <w:pPr>
        <w:ind w:left="142"/>
        <w:jc w:val="right"/>
      </w:pPr>
      <w:r>
        <w:t xml:space="preserve">                                                                                                      ________________Т.И. Долгодворова</w:t>
      </w:r>
    </w:p>
    <w:p w:rsidR="00FC0180" w:rsidRDefault="00FC0180" w:rsidP="00FC0180">
      <w:pPr>
        <w:ind w:left="14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 А.Т. Абдуллаев </w:t>
      </w:r>
    </w:p>
    <w:p w:rsidR="00FC0180" w:rsidRDefault="00FC0180" w:rsidP="00FC0180">
      <w:pPr>
        <w:ind w:left="142"/>
        <w:jc w:val="right"/>
      </w:pPr>
      <w:r>
        <w:t>____________________Н.Б. Захарова</w:t>
      </w:r>
    </w:p>
    <w:p w:rsidR="00FC0180" w:rsidRDefault="00FC0180" w:rsidP="00FC0180">
      <w:pPr>
        <w:ind w:left="142"/>
      </w:pPr>
    </w:p>
    <w:p w:rsidR="00FC0180" w:rsidRDefault="00FC0180" w:rsidP="00FC0180">
      <w:pPr>
        <w:ind w:left="142"/>
      </w:pPr>
      <w:r>
        <w:t xml:space="preserve"> </w:t>
      </w:r>
    </w:p>
    <w:p w:rsidR="00FC0180" w:rsidRDefault="00FC0180" w:rsidP="00FC0180">
      <w:pPr>
        <w:ind w:left="142"/>
      </w:pPr>
      <w:r>
        <w:t xml:space="preserve">Представитель заказчика:                                                </w:t>
      </w:r>
      <w:r w:rsidR="00122554">
        <w:t xml:space="preserve">       </w:t>
      </w:r>
      <w:r>
        <w:t xml:space="preserve">            ________________</w:t>
      </w:r>
      <w:proofErr w:type="spellStart"/>
      <w:r w:rsidR="00122554">
        <w:t>Е.Н.Сметанина</w:t>
      </w:r>
      <w:proofErr w:type="spellEnd"/>
    </w:p>
    <w:p w:rsidR="00122554" w:rsidRDefault="00122554"/>
    <w:p w:rsidR="00122554" w:rsidRDefault="00122554"/>
    <w:p w:rsidR="00122554" w:rsidRDefault="00122554"/>
    <w:p w:rsidR="00122554" w:rsidRDefault="00122554"/>
    <w:p w:rsidR="00122554" w:rsidRDefault="00122554"/>
    <w:p w:rsidR="00122554" w:rsidRDefault="00122554"/>
    <w:p w:rsidR="00122554" w:rsidRDefault="00122554"/>
    <w:p w:rsidR="00122554" w:rsidRDefault="00122554"/>
    <w:p w:rsidR="00122554" w:rsidRDefault="00122554"/>
    <w:p w:rsidR="00122554" w:rsidRDefault="00122554"/>
    <w:p w:rsidR="00122554" w:rsidRDefault="00122554"/>
    <w:p w:rsidR="00122554" w:rsidRDefault="00122554"/>
    <w:p w:rsidR="00122554" w:rsidRDefault="00122554"/>
    <w:p w:rsidR="00122554" w:rsidRDefault="00122554"/>
    <w:p w:rsidR="00122554" w:rsidRDefault="00122554"/>
    <w:p w:rsidR="00122554" w:rsidRDefault="00122554"/>
    <w:p w:rsidR="00122554" w:rsidRDefault="00122554"/>
    <w:p w:rsidR="00122554" w:rsidRDefault="00122554"/>
    <w:p w:rsidR="00122554" w:rsidRDefault="00122554"/>
    <w:p w:rsidR="00122554" w:rsidRDefault="00122554"/>
    <w:p w:rsidR="00122554" w:rsidRDefault="00122554"/>
    <w:p w:rsidR="00122554" w:rsidRDefault="00122554"/>
    <w:p w:rsidR="00122554" w:rsidRDefault="00122554"/>
    <w:p w:rsidR="00122554" w:rsidRDefault="00122554"/>
    <w:p w:rsidR="00122554" w:rsidRDefault="00122554"/>
    <w:p w:rsidR="00122554" w:rsidRDefault="00122554"/>
    <w:p w:rsidR="00122554" w:rsidRDefault="00122554"/>
    <w:p w:rsidR="00122554" w:rsidRDefault="00122554"/>
    <w:p w:rsidR="00122554" w:rsidRDefault="00122554"/>
    <w:p w:rsidR="00122554" w:rsidRDefault="00122554" w:rsidP="00122554">
      <w:pPr>
        <w:ind w:right="-17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</w:p>
    <w:p w:rsidR="00122554" w:rsidRDefault="00122554" w:rsidP="00122554">
      <w:pPr>
        <w:ind w:right="-174"/>
        <w:jc w:val="right"/>
        <w:rPr>
          <w:sz w:val="16"/>
          <w:szCs w:val="16"/>
        </w:rPr>
        <w:sectPr w:rsidR="00122554" w:rsidSect="00FC0180">
          <w:pgSz w:w="11906" w:h="16838"/>
          <w:pgMar w:top="567" w:right="850" w:bottom="1134" w:left="567" w:header="708" w:footer="708" w:gutter="0"/>
          <w:cols w:space="708"/>
          <w:docGrid w:linePitch="360"/>
        </w:sectPr>
      </w:pPr>
    </w:p>
    <w:p w:rsidR="00122554" w:rsidRDefault="00122554" w:rsidP="00122554">
      <w:pPr>
        <w:ind w:right="-174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Приложение 1</w:t>
      </w:r>
    </w:p>
    <w:p w:rsidR="00122554" w:rsidRDefault="00122554" w:rsidP="00122554">
      <w:pPr>
        <w:tabs>
          <w:tab w:val="left" w:pos="3930"/>
          <w:tab w:val="right" w:pos="9355"/>
        </w:tabs>
        <w:ind w:right="-17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рассмотрения заявок</w:t>
      </w:r>
    </w:p>
    <w:p w:rsidR="00122554" w:rsidRDefault="00122554" w:rsidP="00122554">
      <w:pPr>
        <w:tabs>
          <w:tab w:val="left" w:pos="3930"/>
        </w:tabs>
        <w:ind w:right="-17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на участие в аукционе в электронной форме</w:t>
      </w:r>
    </w:p>
    <w:p w:rsidR="00122554" w:rsidRDefault="00122554" w:rsidP="00122554">
      <w:pPr>
        <w:tabs>
          <w:tab w:val="left" w:pos="3930"/>
          <w:tab w:val="right" w:pos="9355"/>
        </w:tabs>
        <w:ind w:right="-17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от «20»  июня 2017 г. № 0187300005817000170-1</w:t>
      </w:r>
    </w:p>
    <w:p w:rsidR="00122554" w:rsidRDefault="00122554" w:rsidP="00122554">
      <w:pPr>
        <w:ind w:left="-42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Таблица рассмотрения заявок</w:t>
      </w:r>
    </w:p>
    <w:p w:rsidR="00122554" w:rsidRDefault="00122554" w:rsidP="00122554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 участие в аукционе в электронной форме</w:t>
      </w:r>
      <w:r>
        <w:rPr>
          <w:bCs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 контракта на поставку вешалок на объект: «Физкультурно-спортивный комплекс с универсальным игровым залом в городе Югорске».</w:t>
      </w:r>
    </w:p>
    <w:p w:rsidR="00122554" w:rsidRDefault="00122554" w:rsidP="00122554">
      <w:pPr>
        <w:suppressAutoHyphens w:val="0"/>
        <w:autoSpaceDE w:val="0"/>
        <w:autoSpaceDN w:val="0"/>
        <w:adjustRightInd w:val="0"/>
        <w:ind w:left="-426"/>
        <w:jc w:val="center"/>
        <w:rPr>
          <w:color w:val="000000"/>
          <w:sz w:val="12"/>
          <w:szCs w:val="12"/>
        </w:rPr>
      </w:pPr>
    </w:p>
    <w:p w:rsidR="00122554" w:rsidRDefault="00122554" w:rsidP="00122554">
      <w:pPr>
        <w:suppressAutoHyphens w:val="0"/>
        <w:autoSpaceDE w:val="0"/>
        <w:autoSpaceDN w:val="0"/>
        <w:adjustRightInd w:val="0"/>
        <w:ind w:left="-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Заказчик: Департамент жилищно-коммунального и строительного комплекса администрации города Югорска.</w:t>
      </w:r>
    </w:p>
    <w:tbl>
      <w:tblPr>
        <w:tblW w:w="506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911"/>
        <w:gridCol w:w="1711"/>
        <w:gridCol w:w="1166"/>
        <w:gridCol w:w="1132"/>
        <w:gridCol w:w="1322"/>
        <w:gridCol w:w="1322"/>
        <w:gridCol w:w="1521"/>
        <w:gridCol w:w="1929"/>
        <w:gridCol w:w="1322"/>
        <w:gridCol w:w="1331"/>
      </w:tblGrid>
      <w:tr w:rsidR="00122554" w:rsidTr="00122554">
        <w:trPr>
          <w:trHeight w:val="201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54" w:rsidRDefault="0012255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54" w:rsidRDefault="00122554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пункта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54" w:rsidRDefault="00122554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Характеристика товара</w:t>
            </w:r>
          </w:p>
        </w:tc>
        <w:tc>
          <w:tcPr>
            <w:tcW w:w="35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54" w:rsidRDefault="0012255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Номер заявки</w:t>
            </w:r>
          </w:p>
        </w:tc>
      </w:tr>
      <w:tr w:rsidR="00122554" w:rsidTr="00122554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Default="00122554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Default="00122554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Default="00122554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Default="00122554">
            <w:pPr>
              <w:suppressAutoHyphens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Default="00122554">
            <w:pPr>
              <w:suppressAutoHyphens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Default="00122554">
            <w:pPr>
              <w:jc w:val="center"/>
            </w:pPr>
            <w:r>
              <w:rPr>
                <w:sz w:val="18"/>
                <w:szCs w:val="18"/>
              </w:rPr>
              <w:t>Заявка №3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Default="00122554">
            <w:pPr>
              <w:jc w:val="center"/>
            </w:pPr>
            <w:r>
              <w:rPr>
                <w:sz w:val="18"/>
                <w:szCs w:val="18"/>
              </w:rPr>
              <w:t>Заявка №4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Default="00122554">
            <w:pPr>
              <w:jc w:val="center"/>
            </w:pPr>
            <w:r>
              <w:rPr>
                <w:sz w:val="18"/>
                <w:szCs w:val="18"/>
              </w:rPr>
              <w:t>Заявка №6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Default="00122554">
            <w:pPr>
              <w:jc w:val="center"/>
            </w:pPr>
            <w:r>
              <w:rPr>
                <w:sz w:val="18"/>
                <w:szCs w:val="18"/>
              </w:rPr>
              <w:t>Заявка №8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Default="00122554">
            <w:pPr>
              <w:jc w:val="center"/>
            </w:pPr>
            <w:r>
              <w:rPr>
                <w:sz w:val="18"/>
                <w:szCs w:val="18"/>
              </w:rPr>
              <w:t>Заявка №9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Default="00122554">
            <w:pPr>
              <w:jc w:val="center"/>
            </w:pPr>
            <w:r>
              <w:rPr>
                <w:sz w:val="18"/>
                <w:szCs w:val="18"/>
              </w:rPr>
              <w:t>Заявка №10</w:t>
            </w:r>
          </w:p>
        </w:tc>
      </w:tr>
      <w:tr w:rsidR="00122554" w:rsidTr="00122554">
        <w:trPr>
          <w:trHeight w:val="1093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54" w:rsidRPr="00122554" w:rsidRDefault="00122554">
            <w:pPr>
              <w:snapToGrid w:val="0"/>
              <w:rPr>
                <w:sz w:val="16"/>
                <w:szCs w:val="18"/>
              </w:rPr>
            </w:pPr>
            <w:r w:rsidRPr="00122554">
              <w:rPr>
                <w:sz w:val="16"/>
                <w:szCs w:val="18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122554" w:rsidRPr="00122554" w:rsidRDefault="00122554">
            <w:pPr>
              <w:snapToGrid w:val="0"/>
              <w:rPr>
                <w:sz w:val="16"/>
                <w:szCs w:val="18"/>
              </w:rPr>
            </w:pPr>
            <w:proofErr w:type="gramStart"/>
            <w:r w:rsidRPr="00122554">
              <w:rPr>
                <w:sz w:val="16"/>
                <w:szCs w:val="18"/>
              </w:rPr>
              <w:t xml:space="preserve">согласие участника аукциона на выполнение работы или оказание услуги на условиях, предусмотренных настоящей документацией, а также конкретные показатели используемого товара, соответствующие значениям, установленным в Части </w:t>
            </w:r>
            <w:r w:rsidRPr="00122554">
              <w:rPr>
                <w:sz w:val="16"/>
                <w:szCs w:val="18"/>
                <w:lang w:val="en-US"/>
              </w:rPr>
              <w:t>II</w:t>
            </w:r>
            <w:r w:rsidRPr="00122554">
              <w:rPr>
                <w:sz w:val="16"/>
                <w:szCs w:val="18"/>
              </w:rPr>
              <w:t xml:space="preserve"> «Техническое задание» настоящей документации,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</w:t>
            </w:r>
            <w:proofErr w:type="gramEnd"/>
            <w:r w:rsidRPr="00122554">
              <w:rPr>
                <w:sz w:val="16"/>
                <w:szCs w:val="18"/>
              </w:rPr>
              <w:t xml:space="preserve"> страны происхождения товара.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54" w:rsidRDefault="00122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22554" w:rsidRDefault="00122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54" w:rsidRPr="00122554" w:rsidRDefault="00122554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14"/>
                <w:szCs w:val="16"/>
              </w:rPr>
            </w:pPr>
            <w:r w:rsidRPr="00122554">
              <w:rPr>
                <w:sz w:val="14"/>
                <w:szCs w:val="16"/>
              </w:rPr>
              <w:t>Стойка - вешалка напольная. Материал металл. Высота не менее 1820 мм, длина не менее 380 мм, цвет серебристый</w:t>
            </w:r>
          </w:p>
          <w:p w:rsidR="00122554" w:rsidRPr="00122554" w:rsidRDefault="00122554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b/>
                <w:sz w:val="14"/>
                <w:szCs w:val="18"/>
              </w:rPr>
            </w:pPr>
            <w:r w:rsidRPr="00122554">
              <w:rPr>
                <w:b/>
                <w:sz w:val="14"/>
                <w:szCs w:val="16"/>
              </w:rPr>
              <w:t>В соответствии с ГОСТ  16371-2014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Pr="00122554" w:rsidRDefault="00122554">
            <w:pPr>
              <w:suppressAutoHyphens w:val="0"/>
              <w:ind w:left="-114" w:right="-106"/>
              <w:jc w:val="center"/>
              <w:rPr>
                <w:color w:val="000000"/>
                <w:kern w:val="0"/>
                <w:sz w:val="16"/>
                <w:szCs w:val="18"/>
                <w:lang w:eastAsia="ru-RU"/>
              </w:rPr>
            </w:pPr>
            <w:r w:rsidRPr="00122554">
              <w:rPr>
                <w:rFonts w:eastAsia="Calibri"/>
                <w:sz w:val="16"/>
                <w:szCs w:val="18"/>
              </w:rPr>
              <w:t>соответствует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Pr="00122554" w:rsidRDefault="00122554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соответствует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Pr="00122554" w:rsidRDefault="00122554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соответствует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Pr="00122554" w:rsidRDefault="00122554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соответствует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Pr="00122554" w:rsidRDefault="00122554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соответствует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54" w:rsidRPr="00122554" w:rsidRDefault="00122554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Стойк</w:t>
            </w:r>
            <w:proofErr w:type="gramStart"/>
            <w:r w:rsidRPr="00122554">
              <w:rPr>
                <w:rFonts w:eastAsia="Calibri"/>
                <w:sz w:val="16"/>
                <w:szCs w:val="18"/>
              </w:rPr>
              <w:t>а-</w:t>
            </w:r>
            <w:proofErr w:type="gramEnd"/>
            <w:r w:rsidRPr="00122554">
              <w:rPr>
                <w:rFonts w:eastAsia="Calibri"/>
                <w:sz w:val="16"/>
                <w:szCs w:val="18"/>
              </w:rPr>
              <w:t xml:space="preserve"> вешалка напольная. Материал металл. Высота 1820 мм, длина 380 мм, цвет серебристый.</w:t>
            </w:r>
          </w:p>
          <w:p w:rsidR="00122554" w:rsidRPr="00122554" w:rsidRDefault="00122554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0"/>
              </w:rPr>
            </w:pPr>
          </w:p>
          <w:p w:rsidR="00122554" w:rsidRPr="00122554" w:rsidRDefault="00122554">
            <w:pPr>
              <w:tabs>
                <w:tab w:val="num" w:pos="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8"/>
              </w:rPr>
            </w:pPr>
            <w:r w:rsidRPr="00122554">
              <w:rPr>
                <w:rFonts w:eastAsia="Calibri"/>
                <w:b/>
                <w:sz w:val="16"/>
                <w:szCs w:val="18"/>
              </w:rPr>
              <w:t>Отсутствует ГОСТ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Pr="00122554" w:rsidRDefault="00122554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соответствует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Pr="00122554" w:rsidRDefault="00122554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соответствует</w:t>
            </w:r>
          </w:p>
        </w:tc>
      </w:tr>
      <w:tr w:rsidR="00122554" w:rsidTr="00122554">
        <w:trPr>
          <w:trHeight w:val="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Default="0012255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54" w:rsidRDefault="00122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54" w:rsidRPr="00122554" w:rsidRDefault="00122554">
            <w:pPr>
              <w:jc w:val="both"/>
              <w:rPr>
                <w:sz w:val="14"/>
                <w:szCs w:val="16"/>
              </w:rPr>
            </w:pPr>
            <w:r w:rsidRPr="00122554">
              <w:rPr>
                <w:sz w:val="14"/>
                <w:szCs w:val="16"/>
              </w:rPr>
              <w:t>Вешалка настенная не менее чем на  4 рожка. Металлический каркас с гальваническим покрытием никель-хром.</w:t>
            </w:r>
          </w:p>
          <w:p w:rsidR="00122554" w:rsidRPr="00122554" w:rsidRDefault="00122554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b/>
                <w:sz w:val="14"/>
                <w:szCs w:val="18"/>
              </w:rPr>
            </w:pPr>
            <w:r w:rsidRPr="00122554">
              <w:rPr>
                <w:b/>
                <w:sz w:val="14"/>
                <w:szCs w:val="16"/>
              </w:rPr>
              <w:t>В соответствии с ГОСТ 16371-2014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Pr="00122554" w:rsidRDefault="00122554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соответствует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Pr="00122554" w:rsidRDefault="00122554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соответствует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Pr="00122554" w:rsidRDefault="00122554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соответствует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Pr="00122554" w:rsidRDefault="00122554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соответствует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Pr="00122554" w:rsidRDefault="00122554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соответствует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54" w:rsidRPr="00122554" w:rsidRDefault="00122554">
            <w:pPr>
              <w:jc w:val="both"/>
              <w:rPr>
                <w:rFonts w:eastAsia="Calibri"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Вешалка настенная на 4 рожка. Металлический каркас с гальваническим покрытием никель-хром.</w:t>
            </w:r>
          </w:p>
          <w:p w:rsidR="00122554" w:rsidRPr="00122554" w:rsidRDefault="00122554">
            <w:pPr>
              <w:jc w:val="center"/>
              <w:rPr>
                <w:rFonts w:eastAsia="Calibri"/>
                <w:sz w:val="16"/>
                <w:szCs w:val="10"/>
              </w:rPr>
            </w:pPr>
          </w:p>
          <w:p w:rsidR="00122554" w:rsidRPr="00122554" w:rsidRDefault="00122554">
            <w:pPr>
              <w:jc w:val="center"/>
              <w:rPr>
                <w:rFonts w:eastAsia="Calibri"/>
                <w:b/>
                <w:sz w:val="16"/>
                <w:szCs w:val="18"/>
              </w:rPr>
            </w:pPr>
            <w:r w:rsidRPr="00122554">
              <w:rPr>
                <w:rFonts w:eastAsia="Calibri"/>
                <w:b/>
                <w:sz w:val="16"/>
                <w:szCs w:val="18"/>
              </w:rPr>
              <w:t>Отсутствует ГОСТ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Pr="00122554" w:rsidRDefault="00122554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соответствует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Pr="00122554" w:rsidRDefault="00122554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соответствует</w:t>
            </w:r>
          </w:p>
        </w:tc>
      </w:tr>
      <w:tr w:rsidR="00122554" w:rsidTr="00122554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Default="0012255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54" w:rsidRDefault="00122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54" w:rsidRPr="00122554" w:rsidRDefault="00122554">
            <w:pPr>
              <w:jc w:val="both"/>
              <w:rPr>
                <w:sz w:val="14"/>
                <w:szCs w:val="16"/>
              </w:rPr>
            </w:pPr>
            <w:r w:rsidRPr="00122554">
              <w:rPr>
                <w:sz w:val="14"/>
                <w:szCs w:val="16"/>
              </w:rPr>
              <w:t xml:space="preserve">Секция гардеробная стационарная (крепление к полу). Размеры: высота не менее 2100мм, длина не менее 1300 мм. Комплектность: труба стальная хромированная диаметром не менее 25 мм; панель ЛДСП кромка ПВХ не менее  2 мм не менее чем на  22 крючка </w:t>
            </w:r>
            <w:proofErr w:type="spellStart"/>
            <w:r w:rsidRPr="00122554">
              <w:rPr>
                <w:sz w:val="14"/>
                <w:szCs w:val="16"/>
              </w:rPr>
              <w:t>трехрожковых</w:t>
            </w:r>
            <w:proofErr w:type="spellEnd"/>
            <w:r w:rsidRPr="00122554">
              <w:rPr>
                <w:sz w:val="14"/>
                <w:szCs w:val="16"/>
              </w:rPr>
              <w:t xml:space="preserve"> не менее чем по 11 штук с каждой стороны. Допустимая нагрузка на крючок до 10 кг (неизменяемое значение). Расстояние от центра к центру крючка не менее 200 мм. </w:t>
            </w:r>
            <w:r w:rsidRPr="00122554">
              <w:rPr>
                <w:b/>
                <w:sz w:val="14"/>
                <w:szCs w:val="16"/>
              </w:rPr>
              <w:t>Цвет панели «Выбеленный дуб».</w:t>
            </w:r>
          </w:p>
          <w:p w:rsidR="00122554" w:rsidRPr="00122554" w:rsidRDefault="00122554">
            <w:pPr>
              <w:jc w:val="both"/>
              <w:rPr>
                <w:b/>
                <w:sz w:val="14"/>
                <w:szCs w:val="18"/>
              </w:rPr>
            </w:pPr>
            <w:r w:rsidRPr="00122554">
              <w:rPr>
                <w:b/>
                <w:sz w:val="14"/>
                <w:szCs w:val="16"/>
              </w:rPr>
              <w:t>В соответствии с ГОСТ 16371-2014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Pr="00122554" w:rsidRDefault="00122554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соответствует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Pr="00122554" w:rsidRDefault="00122554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соответствует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Pr="00122554" w:rsidRDefault="00122554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соответствует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Pr="00122554" w:rsidRDefault="00122554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соответствует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Pr="00122554" w:rsidRDefault="00122554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соответствует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54" w:rsidRPr="00122554" w:rsidRDefault="00122554">
            <w:pPr>
              <w:suppressAutoHyphens w:val="0"/>
              <w:jc w:val="both"/>
              <w:rPr>
                <w:rFonts w:eastAsia="Calibri"/>
                <w:b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Секция гардеробная стационарная (крепление к полу). Размер высота 2100мм, длина 1300мм. Комплектность: труба стальная хромированная диаметром 25 мм</w:t>
            </w:r>
            <w:proofErr w:type="gramStart"/>
            <w:r w:rsidRPr="00122554">
              <w:rPr>
                <w:rFonts w:eastAsia="Calibri"/>
                <w:sz w:val="16"/>
                <w:szCs w:val="18"/>
              </w:rPr>
              <w:t>4</w:t>
            </w:r>
            <w:proofErr w:type="gramEnd"/>
            <w:r w:rsidRPr="00122554">
              <w:rPr>
                <w:rFonts w:eastAsia="Calibri"/>
                <w:sz w:val="16"/>
                <w:szCs w:val="18"/>
              </w:rPr>
              <w:t xml:space="preserve"> панель ЛДСП кромка ПВХ 2 мм на 22 крючка </w:t>
            </w:r>
            <w:proofErr w:type="spellStart"/>
            <w:r w:rsidRPr="00122554">
              <w:rPr>
                <w:rFonts w:eastAsia="Calibri"/>
                <w:sz w:val="16"/>
                <w:szCs w:val="18"/>
              </w:rPr>
              <w:t>трехрожковых</w:t>
            </w:r>
            <w:proofErr w:type="spellEnd"/>
            <w:r w:rsidRPr="00122554">
              <w:rPr>
                <w:rFonts w:eastAsia="Calibri"/>
                <w:sz w:val="16"/>
                <w:szCs w:val="18"/>
              </w:rPr>
              <w:t xml:space="preserve"> по 11 штук с каждой стороны. Допустимая нагрузка на крючок до 10 кг. Расстояние от центра к центру крючка 200 мм. Дополнительная панель на 14 крючков (7 крючков с каждой стороны).</w:t>
            </w:r>
          </w:p>
          <w:p w:rsidR="00122554" w:rsidRPr="00122554" w:rsidRDefault="00122554">
            <w:pPr>
              <w:suppressAutoHyphens w:val="0"/>
              <w:jc w:val="both"/>
              <w:rPr>
                <w:rFonts w:eastAsia="Calibri"/>
                <w:b/>
                <w:sz w:val="16"/>
                <w:szCs w:val="10"/>
              </w:rPr>
            </w:pPr>
          </w:p>
          <w:p w:rsidR="00122554" w:rsidRPr="00122554" w:rsidRDefault="00122554">
            <w:pPr>
              <w:suppressAutoHyphens w:val="0"/>
              <w:jc w:val="center"/>
              <w:rPr>
                <w:rFonts w:eastAsia="Calibri"/>
                <w:b/>
                <w:sz w:val="16"/>
                <w:szCs w:val="18"/>
              </w:rPr>
            </w:pPr>
            <w:r w:rsidRPr="00122554">
              <w:rPr>
                <w:rFonts w:eastAsia="Calibri"/>
                <w:b/>
                <w:sz w:val="16"/>
                <w:szCs w:val="18"/>
              </w:rPr>
              <w:t>Отсутствует ГОСТ, цвет панели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Pr="00122554" w:rsidRDefault="00122554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соответствует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Pr="00122554" w:rsidRDefault="00122554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соответствует</w:t>
            </w:r>
          </w:p>
        </w:tc>
      </w:tr>
      <w:tr w:rsidR="00122554" w:rsidTr="00122554">
        <w:trPr>
          <w:trHeight w:val="3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Default="0012255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54" w:rsidRDefault="00122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54" w:rsidRDefault="00122554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Стойка гардеробная с входной группой, с открывающейся калиткой и откидной крышкой. Внутри со стороны гардероба ячейки в два уровня. Комплект: магнитная защелка, отбойник, шпингалет. Материал ЛДСП толщиной не менее 16 мм, кромка ПВХ не менее 2 мм. Входной модуль размер: 700*400*900 мм (неизменяемое значение). </w:t>
            </w:r>
            <w:r>
              <w:rPr>
                <w:b/>
                <w:sz w:val="16"/>
                <w:szCs w:val="16"/>
              </w:rPr>
              <w:t>Цвет верхней части стойки: серый, боковые и нижние части «Выбеленный дуб».</w:t>
            </w:r>
          </w:p>
          <w:p w:rsidR="00122554" w:rsidRDefault="0012255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В соответствии с ГОСТ 16371-2014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Pr="00122554" w:rsidRDefault="00122554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соответствует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Pr="00122554" w:rsidRDefault="00122554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соответствует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Pr="00122554" w:rsidRDefault="00122554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соответствует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Pr="00122554" w:rsidRDefault="00122554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соответствует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Pr="00122554" w:rsidRDefault="00122554">
            <w:pPr>
              <w:jc w:val="center"/>
              <w:rPr>
                <w:sz w:val="16"/>
              </w:rPr>
            </w:pPr>
            <w:r w:rsidRPr="00122554">
              <w:rPr>
                <w:rFonts w:eastAsia="Calibri"/>
                <w:sz w:val="16"/>
                <w:szCs w:val="18"/>
              </w:rPr>
              <w:t>соответствует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54" w:rsidRPr="00122554" w:rsidRDefault="00122554">
            <w:pPr>
              <w:suppressAutoHyphens w:val="0"/>
              <w:jc w:val="both"/>
              <w:rPr>
                <w:rFonts w:eastAsia="Calibri"/>
                <w:b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 xml:space="preserve">Стойка гардеробная с входной группой, с открывающейся калиткой и откидной крышкой. Внутри со </w:t>
            </w:r>
            <w:proofErr w:type="spellStart"/>
            <w:r w:rsidRPr="00122554">
              <w:rPr>
                <w:rFonts w:eastAsia="Calibri"/>
                <w:sz w:val="16"/>
                <w:szCs w:val="18"/>
              </w:rPr>
              <w:t>строны</w:t>
            </w:r>
            <w:proofErr w:type="spellEnd"/>
            <w:r w:rsidRPr="00122554">
              <w:rPr>
                <w:rFonts w:eastAsia="Calibri"/>
                <w:sz w:val="16"/>
                <w:szCs w:val="18"/>
              </w:rPr>
              <w:t xml:space="preserve"> гардероба ячейки в два уровня. Комплект: магнитная защелка, отбойник, шпингалет. Материал ЛДСП 16 мм, кромка ПВХ 2 мм. Входной модуль размер: 700*400*900 </w:t>
            </w:r>
            <w:r w:rsidRPr="00122554">
              <w:rPr>
                <w:rFonts w:eastAsia="Calibri"/>
                <w:b/>
                <w:sz w:val="16"/>
                <w:szCs w:val="18"/>
              </w:rPr>
              <w:t xml:space="preserve">Цвет </w:t>
            </w:r>
            <w:proofErr w:type="spellStart"/>
            <w:r w:rsidRPr="00122554">
              <w:rPr>
                <w:rFonts w:eastAsia="Calibri"/>
                <w:b/>
                <w:sz w:val="16"/>
                <w:szCs w:val="18"/>
              </w:rPr>
              <w:t>Венге</w:t>
            </w:r>
            <w:proofErr w:type="spellEnd"/>
            <w:r w:rsidRPr="00122554">
              <w:rPr>
                <w:rFonts w:eastAsia="Calibri"/>
                <w:b/>
                <w:sz w:val="16"/>
                <w:szCs w:val="18"/>
              </w:rPr>
              <w:t>.</w:t>
            </w:r>
          </w:p>
          <w:p w:rsidR="00122554" w:rsidRPr="00122554" w:rsidRDefault="00122554">
            <w:pPr>
              <w:suppressAutoHyphens w:val="0"/>
              <w:jc w:val="both"/>
              <w:rPr>
                <w:rFonts w:eastAsia="Calibri"/>
                <w:b/>
                <w:sz w:val="16"/>
                <w:szCs w:val="10"/>
              </w:rPr>
            </w:pPr>
          </w:p>
          <w:p w:rsidR="00122554" w:rsidRPr="00122554" w:rsidRDefault="00122554">
            <w:pPr>
              <w:suppressAutoHyphens w:val="0"/>
              <w:jc w:val="center"/>
              <w:rPr>
                <w:rFonts w:eastAsia="Calibri"/>
                <w:b/>
                <w:sz w:val="16"/>
                <w:szCs w:val="18"/>
              </w:rPr>
            </w:pPr>
            <w:r w:rsidRPr="00122554">
              <w:rPr>
                <w:rFonts w:eastAsia="Calibri"/>
                <w:b/>
                <w:sz w:val="16"/>
                <w:szCs w:val="18"/>
              </w:rPr>
              <w:t>Отсутствует ГОСТ, не соответствует цвет верхней части стойки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Pr="00122554" w:rsidRDefault="00122554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соответствует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54" w:rsidRPr="00122554" w:rsidRDefault="00122554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8"/>
              </w:rPr>
            </w:pPr>
            <w:r w:rsidRPr="00122554">
              <w:rPr>
                <w:rFonts w:eastAsia="Calibri"/>
                <w:sz w:val="16"/>
                <w:szCs w:val="18"/>
              </w:rPr>
              <w:t>соответствует</w:t>
            </w:r>
          </w:p>
        </w:tc>
      </w:tr>
    </w:tbl>
    <w:p w:rsidR="00122554" w:rsidRDefault="00122554"/>
    <w:sectPr w:rsidR="00122554" w:rsidSect="00122554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0856"/>
    <w:multiLevelType w:val="multilevel"/>
    <w:tmpl w:val="0D3C2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">
    <w:nsid w:val="6B352B8F"/>
    <w:multiLevelType w:val="hybridMultilevel"/>
    <w:tmpl w:val="DC2E7BB0"/>
    <w:lvl w:ilvl="0" w:tplc="6E62283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5C"/>
    <w:rsid w:val="000A585C"/>
    <w:rsid w:val="00122554"/>
    <w:rsid w:val="00387B74"/>
    <w:rsid w:val="005B418E"/>
    <w:rsid w:val="006A21AD"/>
    <w:rsid w:val="0071796E"/>
    <w:rsid w:val="00823F29"/>
    <w:rsid w:val="00BB75D2"/>
    <w:rsid w:val="00E0098D"/>
    <w:rsid w:val="00F01658"/>
    <w:rsid w:val="00FC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8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180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FC0180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FC0180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FC0180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table" w:styleId="a7">
    <w:name w:val="Table Grid"/>
    <w:basedOn w:val="a1"/>
    <w:uiPriority w:val="59"/>
    <w:rsid w:val="00122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41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418E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8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180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FC0180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FC0180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FC0180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table" w:styleId="a7">
    <w:name w:val="Table Grid"/>
    <w:basedOn w:val="a1"/>
    <w:uiPriority w:val="59"/>
    <w:rsid w:val="00122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41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418E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3</cp:revision>
  <cp:lastPrinted>2017-06-19T10:36:00Z</cp:lastPrinted>
  <dcterms:created xsi:type="dcterms:W3CDTF">2017-06-16T05:27:00Z</dcterms:created>
  <dcterms:modified xsi:type="dcterms:W3CDTF">2017-06-19T10:40:00Z</dcterms:modified>
</cp:coreProperties>
</file>