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148" w:rsidRDefault="008D4148" w:rsidP="008D4148">
      <w:pPr>
        <w:autoSpaceDE w:val="0"/>
        <w:autoSpaceDN w:val="0"/>
        <w:adjustRightInd w:val="0"/>
        <w:jc w:val="right"/>
        <w:rPr>
          <w:bCs/>
          <w:sz w:val="22"/>
          <w:szCs w:val="22"/>
        </w:rPr>
      </w:pPr>
      <w:r>
        <w:rPr>
          <w:bCs/>
          <w:sz w:val="22"/>
          <w:szCs w:val="22"/>
        </w:rPr>
        <w:t xml:space="preserve">Приложение к </w:t>
      </w:r>
      <w:r>
        <w:rPr>
          <w:bCs/>
          <w:sz w:val="22"/>
          <w:szCs w:val="22"/>
        </w:rPr>
        <w:t xml:space="preserve">обоснованию </w:t>
      </w:r>
    </w:p>
    <w:p w:rsidR="008D4148" w:rsidRDefault="008D4148" w:rsidP="008D4148">
      <w:pPr>
        <w:autoSpaceDE w:val="0"/>
        <w:autoSpaceDN w:val="0"/>
        <w:adjustRightInd w:val="0"/>
        <w:jc w:val="right"/>
        <w:rPr>
          <w:bCs/>
          <w:sz w:val="22"/>
          <w:szCs w:val="22"/>
        </w:rPr>
      </w:pPr>
      <w:r>
        <w:rPr>
          <w:bCs/>
          <w:sz w:val="22"/>
          <w:szCs w:val="22"/>
        </w:rPr>
        <w:t>начальной (максимальной) цены контракта</w:t>
      </w:r>
    </w:p>
    <w:p w:rsidR="008D4148" w:rsidRDefault="008D4148" w:rsidP="008D4148">
      <w:pPr>
        <w:autoSpaceDE w:val="0"/>
        <w:autoSpaceDN w:val="0"/>
        <w:adjustRightInd w:val="0"/>
        <w:jc w:val="center"/>
        <w:rPr>
          <w:b/>
          <w:bCs/>
          <w:sz w:val="22"/>
          <w:szCs w:val="22"/>
        </w:rPr>
      </w:pPr>
    </w:p>
    <w:p w:rsidR="008D4148" w:rsidRDefault="008D4148" w:rsidP="008D4148">
      <w:pPr>
        <w:autoSpaceDE w:val="0"/>
        <w:autoSpaceDN w:val="0"/>
        <w:adjustRightInd w:val="0"/>
        <w:jc w:val="center"/>
        <w:rPr>
          <w:b/>
          <w:bCs/>
          <w:sz w:val="22"/>
          <w:szCs w:val="22"/>
        </w:rPr>
      </w:pPr>
      <w:r>
        <w:rPr>
          <w:b/>
          <w:bCs/>
          <w:sz w:val="22"/>
          <w:szCs w:val="22"/>
        </w:rPr>
        <w:t>ТЕХНИЧЕСКОЕ ЗАДАНИЕ</w:t>
      </w:r>
    </w:p>
    <w:p w:rsidR="008D4148" w:rsidRDefault="008D4148" w:rsidP="008D4148">
      <w:pPr>
        <w:jc w:val="center"/>
        <w:rPr>
          <w:b/>
          <w:bCs/>
          <w:sz w:val="22"/>
          <w:szCs w:val="22"/>
        </w:rPr>
      </w:pPr>
      <w:r>
        <w:rPr>
          <w:b/>
          <w:bCs/>
          <w:sz w:val="22"/>
          <w:szCs w:val="22"/>
        </w:rPr>
        <w:t>на оказание образовательных услуг по дополнительной профессиональной программе повышения квалификации «О</w:t>
      </w:r>
      <w:r>
        <w:rPr>
          <w:b/>
          <w:sz w:val="22"/>
          <w:szCs w:val="22"/>
        </w:rPr>
        <w:t>храна труда для руководителей и специалистов</w:t>
      </w:r>
      <w:r>
        <w:rPr>
          <w:b/>
          <w:bCs/>
          <w:sz w:val="22"/>
          <w:szCs w:val="22"/>
        </w:rPr>
        <w:t xml:space="preserve">» </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6804"/>
      </w:tblGrid>
      <w:tr w:rsidR="008D4148" w:rsidTr="008D4148">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8D4148" w:rsidRDefault="008D4148">
            <w:pPr>
              <w:jc w:val="center"/>
              <w:rPr>
                <w:sz w:val="21"/>
                <w:szCs w:val="21"/>
              </w:rPr>
            </w:pPr>
            <w:r>
              <w:rPr>
                <w:sz w:val="21"/>
                <w:szCs w:val="21"/>
              </w:rPr>
              <w:t xml:space="preserve">№ </w:t>
            </w:r>
            <w:proofErr w:type="gramStart"/>
            <w:r>
              <w:rPr>
                <w:sz w:val="21"/>
                <w:szCs w:val="21"/>
              </w:rPr>
              <w:t>п</w:t>
            </w:r>
            <w:proofErr w:type="gramEnd"/>
            <w:r>
              <w:rPr>
                <w:sz w:val="21"/>
                <w:szCs w:val="21"/>
              </w:rPr>
              <w:t>/п</w:t>
            </w:r>
          </w:p>
        </w:tc>
        <w:tc>
          <w:tcPr>
            <w:tcW w:w="2552" w:type="dxa"/>
            <w:tcBorders>
              <w:top w:val="single" w:sz="4" w:space="0" w:color="auto"/>
              <w:left w:val="single" w:sz="4" w:space="0" w:color="auto"/>
              <w:bottom w:val="single" w:sz="4" w:space="0" w:color="auto"/>
              <w:right w:val="single" w:sz="4" w:space="0" w:color="auto"/>
            </w:tcBorders>
            <w:shd w:val="clear" w:color="auto" w:fill="D9D9D9"/>
            <w:hideMark/>
          </w:tcPr>
          <w:p w:rsidR="008D4148" w:rsidRDefault="008D4148">
            <w:pPr>
              <w:jc w:val="center"/>
              <w:rPr>
                <w:sz w:val="21"/>
                <w:szCs w:val="21"/>
              </w:rPr>
            </w:pPr>
            <w:r>
              <w:rPr>
                <w:sz w:val="21"/>
                <w:szCs w:val="21"/>
              </w:rPr>
              <w:t>Параметры требований к услугам</w:t>
            </w:r>
          </w:p>
        </w:tc>
        <w:tc>
          <w:tcPr>
            <w:tcW w:w="6804" w:type="dxa"/>
            <w:tcBorders>
              <w:top w:val="single" w:sz="4" w:space="0" w:color="auto"/>
              <w:left w:val="single" w:sz="4" w:space="0" w:color="auto"/>
              <w:bottom w:val="single" w:sz="4" w:space="0" w:color="auto"/>
              <w:right w:val="single" w:sz="4" w:space="0" w:color="auto"/>
            </w:tcBorders>
            <w:shd w:val="clear" w:color="auto" w:fill="D9D9D9"/>
            <w:hideMark/>
          </w:tcPr>
          <w:p w:rsidR="008D4148" w:rsidRDefault="008D4148">
            <w:pPr>
              <w:jc w:val="center"/>
              <w:rPr>
                <w:sz w:val="21"/>
                <w:szCs w:val="21"/>
              </w:rPr>
            </w:pPr>
            <w:r>
              <w:rPr>
                <w:sz w:val="21"/>
                <w:szCs w:val="21"/>
              </w:rPr>
              <w:t>Требования к услугам</w:t>
            </w:r>
          </w:p>
        </w:tc>
      </w:tr>
      <w:tr w:rsidR="008D4148" w:rsidTr="008D4148">
        <w:tc>
          <w:tcPr>
            <w:tcW w:w="709" w:type="dxa"/>
            <w:tcBorders>
              <w:top w:val="single" w:sz="4" w:space="0" w:color="auto"/>
              <w:left w:val="single" w:sz="4" w:space="0" w:color="auto"/>
              <w:bottom w:val="single" w:sz="4" w:space="0" w:color="auto"/>
              <w:right w:val="single" w:sz="4" w:space="0" w:color="auto"/>
            </w:tcBorders>
            <w:hideMark/>
          </w:tcPr>
          <w:p w:rsidR="008D4148" w:rsidRDefault="008D4148">
            <w:pPr>
              <w:jc w:val="both"/>
              <w:rPr>
                <w:bCs/>
                <w:sz w:val="21"/>
                <w:szCs w:val="21"/>
              </w:rPr>
            </w:pPr>
            <w:r>
              <w:rPr>
                <w:bCs/>
                <w:sz w:val="21"/>
                <w:szCs w:val="21"/>
              </w:rPr>
              <w:t>1</w:t>
            </w:r>
          </w:p>
        </w:tc>
        <w:tc>
          <w:tcPr>
            <w:tcW w:w="2552" w:type="dxa"/>
            <w:tcBorders>
              <w:top w:val="single" w:sz="4" w:space="0" w:color="auto"/>
              <w:left w:val="single" w:sz="4" w:space="0" w:color="auto"/>
              <w:bottom w:val="single" w:sz="4" w:space="0" w:color="auto"/>
              <w:right w:val="single" w:sz="4" w:space="0" w:color="auto"/>
            </w:tcBorders>
            <w:hideMark/>
          </w:tcPr>
          <w:p w:rsidR="008D4148" w:rsidRDefault="008D4148">
            <w:pPr>
              <w:rPr>
                <w:sz w:val="21"/>
                <w:szCs w:val="21"/>
              </w:rPr>
            </w:pPr>
            <w:r>
              <w:rPr>
                <w:bCs/>
                <w:sz w:val="21"/>
                <w:szCs w:val="21"/>
              </w:rPr>
              <w:t>Наименование услуг</w:t>
            </w:r>
          </w:p>
        </w:tc>
        <w:tc>
          <w:tcPr>
            <w:tcW w:w="6804" w:type="dxa"/>
            <w:tcBorders>
              <w:top w:val="single" w:sz="4" w:space="0" w:color="auto"/>
              <w:left w:val="single" w:sz="4" w:space="0" w:color="auto"/>
              <w:bottom w:val="single" w:sz="4" w:space="0" w:color="auto"/>
              <w:right w:val="single" w:sz="4" w:space="0" w:color="auto"/>
            </w:tcBorders>
            <w:hideMark/>
          </w:tcPr>
          <w:p w:rsidR="008D4148" w:rsidRDefault="008D4148">
            <w:pPr>
              <w:ind w:firstLine="317"/>
              <w:jc w:val="both"/>
              <w:rPr>
                <w:sz w:val="21"/>
                <w:szCs w:val="21"/>
              </w:rPr>
            </w:pPr>
            <w:r>
              <w:rPr>
                <w:sz w:val="21"/>
                <w:szCs w:val="21"/>
              </w:rPr>
              <w:t xml:space="preserve">Оказание образовательных услуг по дополнительной профессиональной программе повышения квалификации </w:t>
            </w:r>
            <w:r>
              <w:rPr>
                <w:b/>
                <w:bCs/>
                <w:sz w:val="21"/>
                <w:szCs w:val="21"/>
              </w:rPr>
              <w:t>«О</w:t>
            </w:r>
            <w:r>
              <w:rPr>
                <w:b/>
                <w:sz w:val="21"/>
                <w:szCs w:val="21"/>
              </w:rPr>
              <w:t>храна труда для руководителей и специалистов</w:t>
            </w:r>
            <w:r>
              <w:rPr>
                <w:b/>
                <w:bCs/>
                <w:sz w:val="21"/>
                <w:szCs w:val="21"/>
              </w:rPr>
              <w:t>»</w:t>
            </w:r>
            <w:r>
              <w:rPr>
                <w:sz w:val="21"/>
                <w:szCs w:val="21"/>
              </w:rPr>
              <w:t xml:space="preserve"> (далее – ДПП).</w:t>
            </w:r>
          </w:p>
        </w:tc>
      </w:tr>
      <w:tr w:rsidR="008D4148" w:rsidTr="008D4148">
        <w:tc>
          <w:tcPr>
            <w:tcW w:w="709" w:type="dxa"/>
            <w:tcBorders>
              <w:top w:val="single" w:sz="4" w:space="0" w:color="auto"/>
              <w:left w:val="single" w:sz="4" w:space="0" w:color="auto"/>
              <w:bottom w:val="single" w:sz="4" w:space="0" w:color="auto"/>
              <w:right w:val="single" w:sz="4" w:space="0" w:color="auto"/>
            </w:tcBorders>
            <w:hideMark/>
          </w:tcPr>
          <w:p w:rsidR="008D4148" w:rsidRDefault="008D4148">
            <w:pPr>
              <w:jc w:val="both"/>
              <w:rPr>
                <w:bCs/>
                <w:sz w:val="21"/>
                <w:szCs w:val="21"/>
              </w:rPr>
            </w:pPr>
            <w:r>
              <w:rPr>
                <w:bCs/>
                <w:sz w:val="21"/>
                <w:szCs w:val="21"/>
              </w:rPr>
              <w:t>2</w:t>
            </w:r>
          </w:p>
        </w:tc>
        <w:tc>
          <w:tcPr>
            <w:tcW w:w="2552" w:type="dxa"/>
            <w:tcBorders>
              <w:top w:val="single" w:sz="4" w:space="0" w:color="auto"/>
              <w:left w:val="single" w:sz="4" w:space="0" w:color="auto"/>
              <w:bottom w:val="single" w:sz="4" w:space="0" w:color="auto"/>
              <w:right w:val="single" w:sz="4" w:space="0" w:color="auto"/>
            </w:tcBorders>
            <w:hideMark/>
          </w:tcPr>
          <w:p w:rsidR="008D4148" w:rsidRDefault="008D4148">
            <w:pPr>
              <w:rPr>
                <w:bCs/>
                <w:sz w:val="21"/>
                <w:szCs w:val="21"/>
              </w:rPr>
            </w:pPr>
            <w:r>
              <w:rPr>
                <w:bCs/>
                <w:sz w:val="21"/>
                <w:szCs w:val="21"/>
              </w:rPr>
              <w:t xml:space="preserve">Категория </w:t>
            </w:r>
            <w:proofErr w:type="gramStart"/>
            <w:r>
              <w:rPr>
                <w:bCs/>
                <w:sz w:val="21"/>
                <w:szCs w:val="21"/>
              </w:rPr>
              <w:t>обучаемых</w:t>
            </w:r>
            <w:proofErr w:type="gramEnd"/>
          </w:p>
        </w:tc>
        <w:tc>
          <w:tcPr>
            <w:tcW w:w="6804" w:type="dxa"/>
            <w:tcBorders>
              <w:top w:val="single" w:sz="4" w:space="0" w:color="auto"/>
              <w:left w:val="single" w:sz="4" w:space="0" w:color="auto"/>
              <w:bottom w:val="single" w:sz="4" w:space="0" w:color="auto"/>
              <w:right w:val="single" w:sz="4" w:space="0" w:color="auto"/>
            </w:tcBorders>
            <w:hideMark/>
          </w:tcPr>
          <w:p w:rsidR="008D4148" w:rsidRDefault="008D4148">
            <w:pPr>
              <w:ind w:firstLine="317"/>
              <w:jc w:val="both"/>
              <w:rPr>
                <w:sz w:val="21"/>
                <w:szCs w:val="21"/>
              </w:rPr>
            </w:pPr>
            <w:r>
              <w:rPr>
                <w:sz w:val="21"/>
                <w:szCs w:val="21"/>
              </w:rPr>
              <w:t xml:space="preserve">Муниципальные служащие администрации города </w:t>
            </w:r>
            <w:proofErr w:type="spellStart"/>
            <w:r>
              <w:rPr>
                <w:sz w:val="21"/>
                <w:szCs w:val="21"/>
              </w:rPr>
              <w:t>Югорска</w:t>
            </w:r>
            <w:proofErr w:type="spellEnd"/>
            <w:r>
              <w:rPr>
                <w:sz w:val="21"/>
                <w:szCs w:val="21"/>
              </w:rPr>
              <w:t xml:space="preserve"> категории «руководители» и «специалисты», имеющие высшее образование (далее – слушатели), ответственные в администрации города </w:t>
            </w:r>
            <w:proofErr w:type="spellStart"/>
            <w:r>
              <w:rPr>
                <w:sz w:val="21"/>
                <w:szCs w:val="21"/>
              </w:rPr>
              <w:t>Югорска</w:t>
            </w:r>
            <w:proofErr w:type="spellEnd"/>
            <w:r>
              <w:rPr>
                <w:sz w:val="21"/>
                <w:szCs w:val="21"/>
              </w:rPr>
              <w:t xml:space="preserve"> за вопросы по охране труда</w:t>
            </w:r>
            <w:proofErr w:type="gramStart"/>
            <w:r>
              <w:rPr>
                <w:sz w:val="21"/>
                <w:szCs w:val="21"/>
              </w:rPr>
              <w:t>..</w:t>
            </w:r>
            <w:proofErr w:type="gramEnd"/>
          </w:p>
        </w:tc>
      </w:tr>
      <w:tr w:rsidR="008D4148" w:rsidTr="008D4148">
        <w:trPr>
          <w:trHeight w:val="273"/>
        </w:trPr>
        <w:tc>
          <w:tcPr>
            <w:tcW w:w="709" w:type="dxa"/>
            <w:tcBorders>
              <w:top w:val="single" w:sz="4" w:space="0" w:color="auto"/>
              <w:left w:val="single" w:sz="4" w:space="0" w:color="auto"/>
              <w:bottom w:val="single" w:sz="4" w:space="0" w:color="auto"/>
              <w:right w:val="single" w:sz="4" w:space="0" w:color="auto"/>
            </w:tcBorders>
            <w:hideMark/>
          </w:tcPr>
          <w:p w:rsidR="008D4148" w:rsidRDefault="008D4148">
            <w:pPr>
              <w:jc w:val="both"/>
              <w:rPr>
                <w:bCs/>
                <w:sz w:val="21"/>
                <w:szCs w:val="21"/>
              </w:rPr>
            </w:pPr>
            <w:r>
              <w:rPr>
                <w:bCs/>
                <w:sz w:val="21"/>
                <w:szCs w:val="21"/>
              </w:rPr>
              <w:t>3</w:t>
            </w:r>
          </w:p>
        </w:tc>
        <w:tc>
          <w:tcPr>
            <w:tcW w:w="2552" w:type="dxa"/>
            <w:tcBorders>
              <w:top w:val="single" w:sz="4" w:space="0" w:color="auto"/>
              <w:left w:val="single" w:sz="4" w:space="0" w:color="auto"/>
              <w:bottom w:val="single" w:sz="4" w:space="0" w:color="auto"/>
              <w:right w:val="single" w:sz="4" w:space="0" w:color="auto"/>
            </w:tcBorders>
            <w:hideMark/>
          </w:tcPr>
          <w:p w:rsidR="008D4148" w:rsidRDefault="008D4148">
            <w:pPr>
              <w:rPr>
                <w:bCs/>
                <w:sz w:val="21"/>
                <w:szCs w:val="21"/>
              </w:rPr>
            </w:pPr>
            <w:r>
              <w:rPr>
                <w:bCs/>
                <w:sz w:val="21"/>
                <w:szCs w:val="21"/>
              </w:rPr>
              <w:t>Нормативные правовые акты, в соответствии с которыми осуществляется оказание услуг</w:t>
            </w:r>
          </w:p>
        </w:tc>
        <w:tc>
          <w:tcPr>
            <w:tcW w:w="6804" w:type="dxa"/>
            <w:tcBorders>
              <w:top w:val="single" w:sz="4" w:space="0" w:color="auto"/>
              <w:left w:val="single" w:sz="4" w:space="0" w:color="auto"/>
              <w:bottom w:val="single" w:sz="4" w:space="0" w:color="auto"/>
              <w:right w:val="single" w:sz="4" w:space="0" w:color="auto"/>
            </w:tcBorders>
            <w:hideMark/>
          </w:tcPr>
          <w:p w:rsidR="008D4148" w:rsidRDefault="008D4148">
            <w:pPr>
              <w:tabs>
                <w:tab w:val="left" w:pos="423"/>
              </w:tabs>
              <w:ind w:left="33" w:firstLine="284"/>
              <w:jc w:val="both"/>
              <w:rPr>
                <w:rFonts w:eastAsia="Calibri"/>
                <w:sz w:val="21"/>
                <w:szCs w:val="21"/>
                <w:lang w:eastAsia="en-US"/>
              </w:rPr>
            </w:pPr>
            <w:r>
              <w:rPr>
                <w:rFonts w:eastAsia="Calibri"/>
                <w:sz w:val="21"/>
                <w:szCs w:val="21"/>
                <w:lang w:eastAsia="en-US"/>
              </w:rPr>
              <w:t>Федеральный закон от 29 декабря 2012 года № 273-ФЗ «Об образовании в Российской Федерации»;</w:t>
            </w:r>
          </w:p>
          <w:p w:rsidR="008D4148" w:rsidRDefault="008D4148">
            <w:pPr>
              <w:tabs>
                <w:tab w:val="left" w:pos="0"/>
              </w:tabs>
              <w:ind w:left="33" w:firstLine="284"/>
              <w:jc w:val="both"/>
              <w:rPr>
                <w:rFonts w:eastAsia="Calibri"/>
                <w:sz w:val="21"/>
                <w:szCs w:val="21"/>
                <w:lang w:eastAsia="en-US"/>
              </w:rPr>
            </w:pPr>
            <w:r>
              <w:rPr>
                <w:rFonts w:eastAsia="Calibri"/>
                <w:sz w:val="21"/>
                <w:szCs w:val="21"/>
                <w:lang w:eastAsia="en-US"/>
              </w:rPr>
              <w:t>Федеральный закон от 27 июля 2004 года № 79-ФЗ «О государственной гражданской службе Российской Федерации»;</w:t>
            </w:r>
          </w:p>
          <w:p w:rsidR="008D4148" w:rsidRDefault="008D4148">
            <w:pPr>
              <w:tabs>
                <w:tab w:val="left" w:pos="0"/>
              </w:tabs>
              <w:ind w:left="33" w:firstLine="284"/>
              <w:jc w:val="both"/>
              <w:rPr>
                <w:rFonts w:eastAsia="Calibri"/>
                <w:sz w:val="21"/>
                <w:szCs w:val="21"/>
                <w:lang w:eastAsia="en-US"/>
              </w:rPr>
            </w:pPr>
            <w:r>
              <w:rPr>
                <w:rFonts w:eastAsia="Calibri"/>
                <w:sz w:val="21"/>
                <w:szCs w:val="21"/>
                <w:lang w:eastAsia="en-US"/>
              </w:rPr>
              <w:t>Федеральный закон от 02 марта 2007 № 25-ФЗ «О муниципальной службе Российской Федерации»;</w:t>
            </w:r>
          </w:p>
          <w:p w:rsidR="008D4148" w:rsidRDefault="008D4148">
            <w:pPr>
              <w:tabs>
                <w:tab w:val="left" w:pos="423"/>
              </w:tabs>
              <w:ind w:left="33" w:firstLine="284"/>
              <w:jc w:val="both"/>
              <w:rPr>
                <w:rFonts w:eastAsia="Calibri"/>
                <w:sz w:val="21"/>
                <w:szCs w:val="21"/>
                <w:lang w:eastAsia="en-US"/>
              </w:rPr>
            </w:pPr>
            <w:r>
              <w:rPr>
                <w:rFonts w:eastAsia="Calibri"/>
                <w:sz w:val="21"/>
                <w:szCs w:val="21"/>
                <w:lang w:eastAsia="en-US"/>
              </w:rPr>
              <w:t>Указ Президента Российской Федерации от 28 декабря 2006 года № 1474 «О дополнительном профессиональном образовании государственных гражданских служащих Российской Федерации»;</w:t>
            </w:r>
          </w:p>
          <w:p w:rsidR="008D4148" w:rsidRDefault="008D4148">
            <w:pPr>
              <w:tabs>
                <w:tab w:val="left" w:pos="423"/>
              </w:tabs>
              <w:ind w:left="33" w:firstLine="284"/>
              <w:jc w:val="both"/>
              <w:rPr>
                <w:rFonts w:eastAsia="Calibri"/>
                <w:sz w:val="21"/>
                <w:szCs w:val="21"/>
                <w:lang w:eastAsia="en-US"/>
              </w:rPr>
            </w:pPr>
            <w:r>
              <w:rPr>
                <w:rFonts w:eastAsia="Calibri"/>
                <w:sz w:val="21"/>
                <w:szCs w:val="21"/>
                <w:lang w:eastAsia="en-US"/>
              </w:rPr>
              <w:t>Постановление Правительства Российской Федерации от 6 мая 2008 года № 362 «Об утверждении государственных требований к профессиональной переподготовке, повышению квалификации и стажировке государственных гражданских служащих Российской Федерации»;</w:t>
            </w:r>
          </w:p>
          <w:p w:rsidR="008D4148" w:rsidRDefault="008D4148">
            <w:pPr>
              <w:tabs>
                <w:tab w:val="left" w:pos="33"/>
              </w:tabs>
              <w:ind w:left="33" w:firstLine="284"/>
              <w:contextualSpacing/>
              <w:jc w:val="both"/>
              <w:rPr>
                <w:rFonts w:eastAsia="Calibri"/>
                <w:sz w:val="21"/>
                <w:szCs w:val="21"/>
                <w:lang w:eastAsia="en-US"/>
              </w:rPr>
            </w:pPr>
            <w:r>
              <w:rPr>
                <w:rFonts w:eastAsia="Calibri"/>
                <w:sz w:val="21"/>
                <w:szCs w:val="21"/>
                <w:lang w:eastAsia="en-US"/>
              </w:rPr>
              <w:t>Приказ Министерства образования и науки Российской Федерации от 01 июля 2013 года № 499 «Об утверждении порядка организации и осуществления образовательной деятельности по дополнительным профессиональным программам»;</w:t>
            </w:r>
          </w:p>
          <w:p w:rsidR="008D4148" w:rsidRDefault="008D4148">
            <w:pPr>
              <w:tabs>
                <w:tab w:val="left" w:pos="33"/>
              </w:tabs>
              <w:ind w:left="33" w:firstLine="284"/>
              <w:contextualSpacing/>
              <w:jc w:val="both"/>
              <w:rPr>
                <w:rFonts w:eastAsia="Calibri"/>
                <w:sz w:val="21"/>
                <w:szCs w:val="21"/>
                <w:lang w:eastAsia="en-US"/>
              </w:rPr>
            </w:pPr>
            <w:r>
              <w:rPr>
                <w:rFonts w:eastAsia="Calibri"/>
                <w:sz w:val="21"/>
                <w:szCs w:val="21"/>
                <w:lang w:eastAsia="en-US"/>
              </w:rPr>
              <w:t xml:space="preserve">Закон Ханты-Мансийского автономного округа – Югры от 20 июля 2007 года № 113-оз «Об отдельных вопросах муниципальной службы </w:t>
            </w:r>
            <w:proofErr w:type="gramStart"/>
            <w:r>
              <w:rPr>
                <w:rFonts w:eastAsia="Calibri"/>
                <w:sz w:val="21"/>
                <w:szCs w:val="21"/>
                <w:lang w:eastAsia="en-US"/>
              </w:rPr>
              <w:t>в</w:t>
            </w:r>
            <w:proofErr w:type="gramEnd"/>
            <w:r>
              <w:rPr>
                <w:rFonts w:eastAsia="Calibri"/>
                <w:sz w:val="21"/>
                <w:szCs w:val="21"/>
                <w:lang w:eastAsia="en-US"/>
              </w:rPr>
              <w:t xml:space="preserve"> </w:t>
            </w:r>
            <w:proofErr w:type="gramStart"/>
            <w:r>
              <w:rPr>
                <w:rFonts w:eastAsia="Calibri"/>
                <w:sz w:val="21"/>
                <w:szCs w:val="21"/>
                <w:lang w:eastAsia="en-US"/>
              </w:rPr>
              <w:t>Ханты-Мансийском</w:t>
            </w:r>
            <w:proofErr w:type="gramEnd"/>
            <w:r>
              <w:rPr>
                <w:rFonts w:eastAsia="Calibri"/>
                <w:sz w:val="21"/>
                <w:szCs w:val="21"/>
                <w:lang w:eastAsia="en-US"/>
              </w:rPr>
              <w:t xml:space="preserve"> автономном округе – Югре»</w:t>
            </w:r>
          </w:p>
        </w:tc>
      </w:tr>
      <w:tr w:rsidR="008D4148" w:rsidTr="008D4148">
        <w:tc>
          <w:tcPr>
            <w:tcW w:w="709" w:type="dxa"/>
            <w:tcBorders>
              <w:top w:val="single" w:sz="4" w:space="0" w:color="auto"/>
              <w:left w:val="single" w:sz="4" w:space="0" w:color="auto"/>
              <w:bottom w:val="single" w:sz="4" w:space="0" w:color="auto"/>
              <w:right w:val="single" w:sz="4" w:space="0" w:color="auto"/>
            </w:tcBorders>
            <w:hideMark/>
          </w:tcPr>
          <w:p w:rsidR="008D4148" w:rsidRDefault="008D4148">
            <w:pPr>
              <w:jc w:val="both"/>
              <w:rPr>
                <w:bCs/>
                <w:sz w:val="21"/>
                <w:szCs w:val="21"/>
              </w:rPr>
            </w:pPr>
            <w:r>
              <w:rPr>
                <w:bCs/>
                <w:sz w:val="21"/>
                <w:szCs w:val="21"/>
              </w:rPr>
              <w:t>4</w:t>
            </w:r>
          </w:p>
        </w:tc>
        <w:tc>
          <w:tcPr>
            <w:tcW w:w="2552" w:type="dxa"/>
            <w:tcBorders>
              <w:top w:val="single" w:sz="4" w:space="0" w:color="auto"/>
              <w:left w:val="single" w:sz="4" w:space="0" w:color="auto"/>
              <w:bottom w:val="single" w:sz="4" w:space="0" w:color="auto"/>
              <w:right w:val="single" w:sz="4" w:space="0" w:color="auto"/>
            </w:tcBorders>
            <w:hideMark/>
          </w:tcPr>
          <w:p w:rsidR="008D4148" w:rsidRDefault="008D4148">
            <w:pPr>
              <w:rPr>
                <w:bCs/>
                <w:sz w:val="21"/>
                <w:szCs w:val="21"/>
              </w:rPr>
            </w:pPr>
            <w:r>
              <w:rPr>
                <w:bCs/>
                <w:sz w:val="21"/>
                <w:szCs w:val="21"/>
              </w:rPr>
              <w:t>Цель и назначение услуг</w:t>
            </w:r>
          </w:p>
        </w:tc>
        <w:tc>
          <w:tcPr>
            <w:tcW w:w="6804" w:type="dxa"/>
            <w:tcBorders>
              <w:top w:val="single" w:sz="4" w:space="0" w:color="auto"/>
              <w:left w:val="single" w:sz="4" w:space="0" w:color="auto"/>
              <w:bottom w:val="single" w:sz="4" w:space="0" w:color="auto"/>
              <w:right w:val="single" w:sz="4" w:space="0" w:color="auto"/>
            </w:tcBorders>
            <w:hideMark/>
          </w:tcPr>
          <w:p w:rsidR="008D4148" w:rsidRDefault="008D4148">
            <w:pPr>
              <w:autoSpaceDE w:val="0"/>
              <w:autoSpaceDN w:val="0"/>
              <w:adjustRightInd w:val="0"/>
              <w:ind w:firstLine="317"/>
              <w:jc w:val="both"/>
              <w:rPr>
                <w:sz w:val="21"/>
                <w:szCs w:val="21"/>
              </w:rPr>
            </w:pPr>
            <w:r>
              <w:rPr>
                <w:sz w:val="21"/>
                <w:szCs w:val="21"/>
              </w:rPr>
              <w:t>Цель: Совершенствование компетенций, необходимых для повышения профессионального уровня слушателей в рамках имеющейся квалификации.</w:t>
            </w:r>
          </w:p>
          <w:p w:rsidR="008D4148" w:rsidRDefault="008D4148">
            <w:pPr>
              <w:tabs>
                <w:tab w:val="left" w:pos="423"/>
              </w:tabs>
              <w:autoSpaceDE w:val="0"/>
              <w:autoSpaceDN w:val="0"/>
              <w:adjustRightInd w:val="0"/>
              <w:ind w:firstLine="317"/>
              <w:jc w:val="both"/>
              <w:rPr>
                <w:color w:val="000000"/>
                <w:sz w:val="21"/>
                <w:szCs w:val="21"/>
              </w:rPr>
            </w:pPr>
            <w:r>
              <w:rPr>
                <w:color w:val="000000"/>
                <w:sz w:val="21"/>
                <w:szCs w:val="21"/>
              </w:rPr>
              <w:t>Назначение: Удовлетворение образовательных и профессиональных потребностей слушателей, способствование повышению эффективности их профессиональной служебной деятельности.</w:t>
            </w:r>
          </w:p>
        </w:tc>
      </w:tr>
      <w:tr w:rsidR="008D4148" w:rsidTr="008D4148">
        <w:tc>
          <w:tcPr>
            <w:tcW w:w="709" w:type="dxa"/>
            <w:tcBorders>
              <w:top w:val="single" w:sz="4" w:space="0" w:color="auto"/>
              <w:left w:val="single" w:sz="4" w:space="0" w:color="auto"/>
              <w:bottom w:val="single" w:sz="4" w:space="0" w:color="auto"/>
              <w:right w:val="single" w:sz="4" w:space="0" w:color="auto"/>
            </w:tcBorders>
            <w:hideMark/>
          </w:tcPr>
          <w:p w:rsidR="008D4148" w:rsidRDefault="008D4148">
            <w:pPr>
              <w:jc w:val="both"/>
              <w:rPr>
                <w:bCs/>
                <w:sz w:val="21"/>
                <w:szCs w:val="21"/>
              </w:rPr>
            </w:pPr>
            <w:r>
              <w:rPr>
                <w:bCs/>
                <w:sz w:val="21"/>
                <w:szCs w:val="21"/>
              </w:rPr>
              <w:t>5</w:t>
            </w:r>
          </w:p>
        </w:tc>
        <w:tc>
          <w:tcPr>
            <w:tcW w:w="2552" w:type="dxa"/>
            <w:tcBorders>
              <w:top w:val="single" w:sz="4" w:space="0" w:color="auto"/>
              <w:left w:val="single" w:sz="4" w:space="0" w:color="auto"/>
              <w:bottom w:val="single" w:sz="4" w:space="0" w:color="auto"/>
              <w:right w:val="single" w:sz="4" w:space="0" w:color="auto"/>
            </w:tcBorders>
            <w:hideMark/>
          </w:tcPr>
          <w:p w:rsidR="008D4148" w:rsidRDefault="008D4148">
            <w:pPr>
              <w:rPr>
                <w:bCs/>
                <w:sz w:val="21"/>
                <w:szCs w:val="21"/>
              </w:rPr>
            </w:pPr>
            <w:r>
              <w:rPr>
                <w:bCs/>
                <w:sz w:val="21"/>
                <w:szCs w:val="21"/>
              </w:rPr>
              <w:t>Форма, объем, срок и место оказания услуг</w:t>
            </w:r>
          </w:p>
        </w:tc>
        <w:tc>
          <w:tcPr>
            <w:tcW w:w="6804" w:type="dxa"/>
            <w:tcBorders>
              <w:top w:val="single" w:sz="4" w:space="0" w:color="auto"/>
              <w:left w:val="single" w:sz="4" w:space="0" w:color="auto"/>
              <w:bottom w:val="single" w:sz="4" w:space="0" w:color="auto"/>
              <w:right w:val="single" w:sz="4" w:space="0" w:color="auto"/>
            </w:tcBorders>
            <w:hideMark/>
          </w:tcPr>
          <w:p w:rsidR="008D4148" w:rsidRDefault="008D4148">
            <w:pPr>
              <w:ind w:firstLine="317"/>
              <w:jc w:val="both"/>
              <w:rPr>
                <w:sz w:val="21"/>
                <w:szCs w:val="21"/>
              </w:rPr>
            </w:pPr>
            <w:r>
              <w:rPr>
                <w:sz w:val="21"/>
                <w:szCs w:val="21"/>
              </w:rPr>
              <w:t>Форма обучения: с применением дистанционных образовательных технологий и электронного обучения, без отрыва от производства.</w:t>
            </w:r>
          </w:p>
          <w:p w:rsidR="008D4148" w:rsidRDefault="008D4148">
            <w:pPr>
              <w:ind w:firstLine="317"/>
              <w:jc w:val="both"/>
              <w:rPr>
                <w:sz w:val="21"/>
                <w:szCs w:val="21"/>
              </w:rPr>
            </w:pPr>
            <w:r>
              <w:rPr>
                <w:sz w:val="21"/>
                <w:szCs w:val="21"/>
              </w:rPr>
              <w:t>Объем учебной нагрузки всего 40 часов (академический час устанавливается продолжительностью 45 минут).</w:t>
            </w:r>
          </w:p>
          <w:p w:rsidR="008D4148" w:rsidRDefault="008D4148">
            <w:pPr>
              <w:ind w:firstLine="317"/>
              <w:jc w:val="both"/>
              <w:rPr>
                <w:sz w:val="21"/>
                <w:szCs w:val="21"/>
              </w:rPr>
            </w:pPr>
            <w:r>
              <w:rPr>
                <w:sz w:val="21"/>
                <w:szCs w:val="21"/>
              </w:rPr>
              <w:t>Срок обучения: до 1 октября 2016 года. Конкретная дата обучения согласовывается заказчиком и исполнителем дополнительно, в письменном виде, в течение 10 рабочих дней со дня подписания контракта.</w:t>
            </w:r>
          </w:p>
          <w:p w:rsidR="008D4148" w:rsidRDefault="008D4148">
            <w:pPr>
              <w:ind w:firstLine="317"/>
              <w:jc w:val="both"/>
              <w:rPr>
                <w:sz w:val="21"/>
                <w:szCs w:val="21"/>
              </w:rPr>
            </w:pPr>
            <w:r>
              <w:rPr>
                <w:sz w:val="21"/>
                <w:szCs w:val="21"/>
              </w:rPr>
              <w:t>Место оказания услуг: Хант</w:t>
            </w:r>
            <w:proofErr w:type="gramStart"/>
            <w:r>
              <w:rPr>
                <w:sz w:val="21"/>
                <w:szCs w:val="21"/>
              </w:rPr>
              <w:t>ы-</w:t>
            </w:r>
            <w:proofErr w:type="gramEnd"/>
            <w:r>
              <w:rPr>
                <w:sz w:val="21"/>
                <w:szCs w:val="21"/>
              </w:rPr>
              <w:t xml:space="preserve"> Мансийский автономный округ-Югра, город </w:t>
            </w:r>
            <w:proofErr w:type="spellStart"/>
            <w:r>
              <w:rPr>
                <w:sz w:val="21"/>
                <w:szCs w:val="21"/>
              </w:rPr>
              <w:t>Югорск</w:t>
            </w:r>
            <w:proofErr w:type="spellEnd"/>
            <w:r>
              <w:rPr>
                <w:sz w:val="21"/>
                <w:szCs w:val="21"/>
              </w:rPr>
              <w:t>.</w:t>
            </w:r>
          </w:p>
        </w:tc>
      </w:tr>
      <w:tr w:rsidR="008D4148" w:rsidTr="008D4148">
        <w:tc>
          <w:tcPr>
            <w:tcW w:w="709" w:type="dxa"/>
            <w:tcBorders>
              <w:top w:val="single" w:sz="4" w:space="0" w:color="auto"/>
              <w:left w:val="single" w:sz="4" w:space="0" w:color="auto"/>
              <w:bottom w:val="single" w:sz="4" w:space="0" w:color="auto"/>
              <w:right w:val="single" w:sz="4" w:space="0" w:color="auto"/>
            </w:tcBorders>
            <w:hideMark/>
          </w:tcPr>
          <w:p w:rsidR="008D4148" w:rsidRDefault="008D4148">
            <w:pPr>
              <w:jc w:val="both"/>
              <w:rPr>
                <w:bCs/>
                <w:sz w:val="21"/>
                <w:szCs w:val="21"/>
              </w:rPr>
            </w:pPr>
            <w:r>
              <w:rPr>
                <w:bCs/>
                <w:sz w:val="21"/>
                <w:szCs w:val="21"/>
              </w:rPr>
              <w:t>6</w:t>
            </w:r>
          </w:p>
        </w:tc>
        <w:tc>
          <w:tcPr>
            <w:tcW w:w="2552" w:type="dxa"/>
            <w:tcBorders>
              <w:top w:val="single" w:sz="4" w:space="0" w:color="auto"/>
              <w:left w:val="single" w:sz="4" w:space="0" w:color="auto"/>
              <w:bottom w:val="single" w:sz="4" w:space="0" w:color="auto"/>
              <w:right w:val="single" w:sz="4" w:space="0" w:color="auto"/>
            </w:tcBorders>
            <w:hideMark/>
          </w:tcPr>
          <w:p w:rsidR="008D4148" w:rsidRDefault="008D4148">
            <w:pPr>
              <w:rPr>
                <w:bCs/>
                <w:sz w:val="21"/>
                <w:szCs w:val="21"/>
              </w:rPr>
            </w:pPr>
            <w:r>
              <w:rPr>
                <w:bCs/>
                <w:sz w:val="21"/>
                <w:szCs w:val="21"/>
              </w:rPr>
              <w:t xml:space="preserve">Количество </w:t>
            </w:r>
            <w:proofErr w:type="gramStart"/>
            <w:r>
              <w:rPr>
                <w:bCs/>
                <w:sz w:val="21"/>
                <w:szCs w:val="21"/>
              </w:rPr>
              <w:t>обучаемых</w:t>
            </w:r>
            <w:proofErr w:type="gramEnd"/>
          </w:p>
        </w:tc>
        <w:tc>
          <w:tcPr>
            <w:tcW w:w="6804" w:type="dxa"/>
            <w:tcBorders>
              <w:top w:val="single" w:sz="4" w:space="0" w:color="auto"/>
              <w:left w:val="single" w:sz="4" w:space="0" w:color="auto"/>
              <w:bottom w:val="single" w:sz="4" w:space="0" w:color="auto"/>
              <w:right w:val="single" w:sz="4" w:space="0" w:color="auto"/>
            </w:tcBorders>
            <w:hideMark/>
          </w:tcPr>
          <w:p w:rsidR="008D4148" w:rsidRDefault="008D4148">
            <w:pPr>
              <w:ind w:firstLine="317"/>
              <w:jc w:val="both"/>
              <w:rPr>
                <w:bCs/>
                <w:sz w:val="21"/>
                <w:szCs w:val="21"/>
              </w:rPr>
            </w:pPr>
            <w:r>
              <w:rPr>
                <w:bCs/>
                <w:sz w:val="21"/>
                <w:szCs w:val="21"/>
              </w:rPr>
              <w:t>7 (семь) человек. Список слушателей направляется заказчиком исполнителю в течение 10 рабочих дней со дня подписания контракта. Заказчиком могут быть внесены изменения в список, не позднее 5 рабочих дней до дня начала обучения.</w:t>
            </w:r>
          </w:p>
        </w:tc>
      </w:tr>
      <w:tr w:rsidR="008D4148" w:rsidTr="008D4148">
        <w:tc>
          <w:tcPr>
            <w:tcW w:w="709" w:type="dxa"/>
            <w:tcBorders>
              <w:top w:val="single" w:sz="4" w:space="0" w:color="auto"/>
              <w:left w:val="single" w:sz="4" w:space="0" w:color="auto"/>
              <w:bottom w:val="single" w:sz="4" w:space="0" w:color="auto"/>
              <w:right w:val="single" w:sz="4" w:space="0" w:color="auto"/>
            </w:tcBorders>
            <w:hideMark/>
          </w:tcPr>
          <w:p w:rsidR="008D4148" w:rsidRDefault="008D4148">
            <w:pPr>
              <w:jc w:val="both"/>
              <w:rPr>
                <w:bCs/>
                <w:sz w:val="21"/>
                <w:szCs w:val="21"/>
              </w:rPr>
            </w:pPr>
            <w:r>
              <w:rPr>
                <w:bCs/>
                <w:sz w:val="21"/>
                <w:szCs w:val="21"/>
              </w:rPr>
              <w:t>7</w:t>
            </w:r>
          </w:p>
        </w:tc>
        <w:tc>
          <w:tcPr>
            <w:tcW w:w="2552" w:type="dxa"/>
            <w:tcBorders>
              <w:top w:val="single" w:sz="4" w:space="0" w:color="auto"/>
              <w:left w:val="single" w:sz="4" w:space="0" w:color="auto"/>
              <w:bottom w:val="single" w:sz="4" w:space="0" w:color="auto"/>
              <w:right w:val="single" w:sz="4" w:space="0" w:color="auto"/>
            </w:tcBorders>
            <w:hideMark/>
          </w:tcPr>
          <w:p w:rsidR="008D4148" w:rsidRDefault="008D4148">
            <w:pPr>
              <w:rPr>
                <w:bCs/>
                <w:sz w:val="21"/>
                <w:szCs w:val="21"/>
              </w:rPr>
            </w:pPr>
            <w:r>
              <w:rPr>
                <w:bCs/>
                <w:sz w:val="21"/>
                <w:szCs w:val="21"/>
              </w:rPr>
              <w:t>Требования к ДПП и ее реализации</w:t>
            </w:r>
          </w:p>
        </w:tc>
        <w:tc>
          <w:tcPr>
            <w:tcW w:w="6804" w:type="dxa"/>
            <w:tcBorders>
              <w:top w:val="single" w:sz="4" w:space="0" w:color="auto"/>
              <w:left w:val="single" w:sz="4" w:space="0" w:color="auto"/>
              <w:bottom w:val="single" w:sz="4" w:space="0" w:color="auto"/>
              <w:right w:val="single" w:sz="4" w:space="0" w:color="auto"/>
            </w:tcBorders>
            <w:hideMark/>
          </w:tcPr>
          <w:p w:rsidR="008D4148" w:rsidRDefault="008D4148">
            <w:pPr>
              <w:ind w:firstLine="318"/>
              <w:jc w:val="both"/>
              <w:rPr>
                <w:bCs/>
                <w:sz w:val="21"/>
                <w:szCs w:val="21"/>
              </w:rPr>
            </w:pPr>
            <w:r>
              <w:rPr>
                <w:sz w:val="21"/>
                <w:szCs w:val="21"/>
              </w:rPr>
              <w:t xml:space="preserve">ДПП </w:t>
            </w:r>
            <w:r>
              <w:rPr>
                <w:color w:val="000000"/>
                <w:sz w:val="21"/>
                <w:szCs w:val="21"/>
              </w:rPr>
              <w:t>разрабатывается и утверждается Исполнителем</w:t>
            </w:r>
            <w:r>
              <w:rPr>
                <w:sz w:val="21"/>
                <w:szCs w:val="21"/>
              </w:rPr>
              <w:t xml:space="preserve"> в соответствии с требованиями </w:t>
            </w:r>
            <w:r>
              <w:rPr>
                <w:bCs/>
                <w:sz w:val="21"/>
                <w:szCs w:val="21"/>
              </w:rPr>
              <w:t xml:space="preserve">Федерального закона от 29.12.2012 № 273-ФЗ «Об образовании в Российской Федерации», </w:t>
            </w:r>
            <w:r>
              <w:rPr>
                <w:color w:val="000000"/>
                <w:sz w:val="21"/>
                <w:szCs w:val="21"/>
              </w:rPr>
              <w:t xml:space="preserve">приказа Министерства </w:t>
            </w:r>
            <w:r>
              <w:rPr>
                <w:color w:val="000000"/>
                <w:sz w:val="21"/>
                <w:szCs w:val="21"/>
              </w:rPr>
              <w:lastRenderedPageBreak/>
              <w:t>образования и науки Российской Федерации от 01.07.2013 № 499 «Об утверждении порядка организации и осуществления образовательной деятельности по дополнительным профессиональным программам»,</w:t>
            </w:r>
            <w:proofErr w:type="gramStart"/>
            <w:r>
              <w:rPr>
                <w:color w:val="000000"/>
                <w:sz w:val="21"/>
                <w:szCs w:val="21"/>
              </w:rPr>
              <w:t xml:space="preserve"> ,</w:t>
            </w:r>
            <w:proofErr w:type="gramEnd"/>
            <w:r>
              <w:rPr>
                <w:sz w:val="21"/>
                <w:szCs w:val="21"/>
              </w:rPr>
              <w:t xml:space="preserve"> приказа Министерства образования и науки Российской Федерации от 09 января 2014 года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8D4148" w:rsidRDefault="008D4148">
            <w:pPr>
              <w:tabs>
                <w:tab w:val="left" w:pos="0"/>
              </w:tabs>
              <w:ind w:firstLine="318"/>
              <w:jc w:val="both"/>
              <w:rPr>
                <w:color w:val="000000"/>
                <w:sz w:val="21"/>
                <w:szCs w:val="21"/>
              </w:rPr>
            </w:pPr>
            <w:r>
              <w:rPr>
                <w:color w:val="000000"/>
                <w:sz w:val="21"/>
                <w:szCs w:val="21"/>
              </w:rPr>
              <w:t>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
          <w:p w:rsidR="008D4148" w:rsidRDefault="008D4148">
            <w:pPr>
              <w:tabs>
                <w:tab w:val="left" w:pos="0"/>
              </w:tabs>
              <w:ind w:firstLine="317"/>
              <w:jc w:val="both"/>
              <w:rPr>
                <w:color w:val="000000"/>
                <w:sz w:val="21"/>
                <w:szCs w:val="21"/>
              </w:rPr>
            </w:pPr>
            <w:proofErr w:type="gramStart"/>
            <w:r>
              <w:rPr>
                <w:color w:val="000000"/>
                <w:sz w:val="21"/>
                <w:szCs w:val="21"/>
              </w:rPr>
              <w:t>Исполнитель оказывает учебно-методическую помощь обучающимся, в том числе в форме индивидуальных консультаций, оказываемых дистанционно с использованием информационных и телекоммуникационных технологий.</w:t>
            </w:r>
            <w:proofErr w:type="gramEnd"/>
          </w:p>
          <w:p w:rsidR="008D4148" w:rsidRDefault="008D4148">
            <w:pPr>
              <w:tabs>
                <w:tab w:val="left" w:pos="0"/>
              </w:tabs>
              <w:ind w:firstLine="317"/>
              <w:jc w:val="both"/>
              <w:rPr>
                <w:color w:val="000000"/>
                <w:sz w:val="21"/>
                <w:szCs w:val="21"/>
              </w:rPr>
            </w:pPr>
            <w:proofErr w:type="gramStart"/>
            <w:r>
              <w:rPr>
                <w:color w:val="000000"/>
                <w:sz w:val="21"/>
                <w:szCs w:val="21"/>
              </w:rPr>
              <w:t>Исполнитель самостоятельно определяет объем аудиторной нагрузки и соотношение объема занятий, проводимых путем непосредственного взаимодействия педагогического работника с обучающимся, и учебных занятий с применением электронного обучения.</w:t>
            </w:r>
            <w:proofErr w:type="gramEnd"/>
          </w:p>
          <w:p w:rsidR="008D4148" w:rsidRDefault="008D4148">
            <w:pPr>
              <w:tabs>
                <w:tab w:val="left" w:pos="0"/>
              </w:tabs>
              <w:ind w:firstLine="317"/>
              <w:jc w:val="both"/>
              <w:rPr>
                <w:sz w:val="21"/>
                <w:szCs w:val="21"/>
              </w:rPr>
            </w:pPr>
            <w:r>
              <w:rPr>
                <w:sz w:val="21"/>
                <w:szCs w:val="21"/>
              </w:rPr>
              <w:t xml:space="preserve">Учебный план ДПП должен включать вводное тестирование и итоговую аттестацию обучающихся, </w:t>
            </w:r>
            <w:proofErr w:type="gramStart"/>
            <w:r>
              <w:rPr>
                <w:sz w:val="21"/>
                <w:szCs w:val="21"/>
              </w:rPr>
              <w:t>результаты</w:t>
            </w:r>
            <w:proofErr w:type="gramEnd"/>
            <w:r>
              <w:rPr>
                <w:sz w:val="21"/>
                <w:szCs w:val="21"/>
              </w:rPr>
              <w:t xml:space="preserve"> которых направляются Заказчику по окончании реализации ДПП в форме ведомости, самостоятельно определяемой Исполнителем.</w:t>
            </w:r>
          </w:p>
          <w:p w:rsidR="008D4148" w:rsidRDefault="008D4148">
            <w:pPr>
              <w:ind w:firstLine="317"/>
              <w:jc w:val="both"/>
              <w:rPr>
                <w:sz w:val="21"/>
                <w:szCs w:val="21"/>
              </w:rPr>
            </w:pPr>
            <w:r>
              <w:rPr>
                <w:sz w:val="21"/>
                <w:szCs w:val="21"/>
              </w:rPr>
              <w:t>Расписание занятий, направляется Исполнителем в адрес Заказчика для согласования не позднее 5 рабочих дней до начала обучения.</w:t>
            </w:r>
          </w:p>
        </w:tc>
      </w:tr>
      <w:tr w:rsidR="008D4148" w:rsidTr="008D4148">
        <w:tc>
          <w:tcPr>
            <w:tcW w:w="709" w:type="dxa"/>
            <w:tcBorders>
              <w:top w:val="single" w:sz="4" w:space="0" w:color="auto"/>
              <w:left w:val="single" w:sz="4" w:space="0" w:color="auto"/>
              <w:bottom w:val="single" w:sz="4" w:space="0" w:color="auto"/>
              <w:right w:val="single" w:sz="4" w:space="0" w:color="auto"/>
            </w:tcBorders>
            <w:hideMark/>
          </w:tcPr>
          <w:p w:rsidR="008D4148" w:rsidRDefault="008D4148">
            <w:pPr>
              <w:jc w:val="both"/>
              <w:rPr>
                <w:bCs/>
                <w:sz w:val="21"/>
                <w:szCs w:val="21"/>
              </w:rPr>
            </w:pPr>
            <w:r>
              <w:rPr>
                <w:bCs/>
                <w:sz w:val="21"/>
                <w:szCs w:val="21"/>
              </w:rPr>
              <w:lastRenderedPageBreak/>
              <w:t>8</w:t>
            </w:r>
          </w:p>
        </w:tc>
        <w:tc>
          <w:tcPr>
            <w:tcW w:w="2552" w:type="dxa"/>
            <w:tcBorders>
              <w:top w:val="single" w:sz="4" w:space="0" w:color="auto"/>
              <w:left w:val="single" w:sz="4" w:space="0" w:color="auto"/>
              <w:bottom w:val="single" w:sz="4" w:space="0" w:color="auto"/>
              <w:right w:val="single" w:sz="4" w:space="0" w:color="auto"/>
            </w:tcBorders>
            <w:hideMark/>
          </w:tcPr>
          <w:p w:rsidR="008D4148" w:rsidRDefault="008D4148">
            <w:pPr>
              <w:rPr>
                <w:bCs/>
                <w:sz w:val="21"/>
                <w:szCs w:val="21"/>
              </w:rPr>
            </w:pPr>
            <w:r>
              <w:rPr>
                <w:bCs/>
                <w:sz w:val="21"/>
                <w:szCs w:val="21"/>
              </w:rPr>
              <w:t>Требования к содержанию ДПП</w:t>
            </w:r>
          </w:p>
        </w:tc>
        <w:tc>
          <w:tcPr>
            <w:tcW w:w="6804" w:type="dxa"/>
            <w:tcBorders>
              <w:top w:val="single" w:sz="4" w:space="0" w:color="auto"/>
              <w:left w:val="single" w:sz="4" w:space="0" w:color="auto"/>
              <w:bottom w:val="single" w:sz="4" w:space="0" w:color="auto"/>
              <w:right w:val="single" w:sz="4" w:space="0" w:color="auto"/>
            </w:tcBorders>
            <w:hideMark/>
          </w:tcPr>
          <w:p w:rsidR="008D4148" w:rsidRDefault="008D4148">
            <w:pPr>
              <w:tabs>
                <w:tab w:val="num" w:pos="0"/>
                <w:tab w:val="left" w:pos="34"/>
              </w:tabs>
              <w:ind w:firstLine="317"/>
              <w:jc w:val="both"/>
              <w:rPr>
                <w:sz w:val="21"/>
                <w:szCs w:val="21"/>
              </w:rPr>
            </w:pPr>
            <w:r>
              <w:rPr>
                <w:sz w:val="21"/>
                <w:szCs w:val="21"/>
              </w:rPr>
              <w:t>В ходе реализации ДПП слушатели должны изучить ключевые вопросы:</w:t>
            </w:r>
          </w:p>
          <w:p w:rsidR="008D4148" w:rsidRDefault="008D4148">
            <w:pPr>
              <w:spacing w:after="200" w:line="276" w:lineRule="auto"/>
              <w:rPr>
                <w:rFonts w:ascii="Calibri" w:eastAsia="Calibri" w:hAnsi="Calibri"/>
                <w:sz w:val="21"/>
                <w:szCs w:val="21"/>
                <w:lang w:eastAsia="en-US"/>
              </w:rPr>
            </w:pPr>
            <w:r>
              <w:rPr>
                <w:rFonts w:ascii="RobotoRegular" w:eastAsia="Calibri" w:hAnsi="RobotoRegular"/>
                <w:color w:val="333333"/>
                <w:sz w:val="21"/>
                <w:szCs w:val="21"/>
                <w:shd w:val="clear" w:color="auto" w:fill="FFFFFF"/>
                <w:lang w:eastAsia="en-US"/>
              </w:rPr>
              <w:t xml:space="preserve">1. Основы охраны труда 1.1. Трудовая деятельность человека 1.2. Основные принципы обеспечения безопасности труда 1.3. Основные принципы обеспечения охраны труда 1.4. Основные положения трудового права 1.5. Правовые основы охраны труда 1.6. Государственное регулирование в сфере охраны труда 1.7. Государственные нормативные требования по охране труда 1.8. Обязанности и ответственность работников по соблюдению требований охраны труда и трудового распорядка 1.9. Обязанности и ответственность должностных лиц по соблюдению требований законодательства о труде и об охране труда 2. Основы управления охраной труда в организации 2.1. Обязанности работодателя по обеспечению безопасных условий и охраны труда 2.2. Управление внутренней мотивацией работников на безопасный труд и соблюдение требований охраны труда 2.3. Организация системы управления охраной труда 2.4. Социальное партнерство работодателя и работников в сфере охраны труда. Организация общественного контроля 2.5. Аттестация рабочих мест по условиям труда 2.6. Разработка инструкций по охране труда 2.7. Организация обучения по охране труда и проверки </w:t>
            </w:r>
            <w:proofErr w:type="gramStart"/>
            <w:r>
              <w:rPr>
                <w:rFonts w:ascii="RobotoRegular" w:eastAsia="Calibri" w:hAnsi="RobotoRegular"/>
                <w:color w:val="333333"/>
                <w:sz w:val="21"/>
                <w:szCs w:val="21"/>
                <w:shd w:val="clear" w:color="auto" w:fill="FFFFFF"/>
                <w:lang w:eastAsia="en-US"/>
              </w:rPr>
              <w:t>знаний требований охраны труда работников организаций</w:t>
            </w:r>
            <w:proofErr w:type="gramEnd"/>
            <w:r>
              <w:rPr>
                <w:rFonts w:ascii="RobotoRegular" w:eastAsia="Calibri" w:hAnsi="RobotoRegular"/>
                <w:color w:val="333333"/>
                <w:sz w:val="21"/>
                <w:szCs w:val="21"/>
                <w:shd w:val="clear" w:color="auto" w:fill="FFFFFF"/>
                <w:lang w:eastAsia="en-US"/>
              </w:rPr>
              <w:t xml:space="preserve"> 2.8. Предоставление компенсаций за условия труда; обеспечение работников средствами индивидуальной защиты 2.9. Основы предупреждения профессиональной заболеваемости 2.10. Документация и отчетность по охране труда 2.11. Сертификация работ по охране труда в организациях. 3. Специальные вопросы обеспечения требований охраны труда и безопасности производственной деятельности 3.1. Основы </w:t>
            </w:r>
            <w:r>
              <w:rPr>
                <w:rFonts w:ascii="RobotoRegular" w:eastAsia="Calibri" w:hAnsi="RobotoRegular"/>
                <w:color w:val="333333"/>
                <w:sz w:val="21"/>
                <w:szCs w:val="21"/>
                <w:shd w:val="clear" w:color="auto" w:fill="FFFFFF"/>
                <w:lang w:eastAsia="en-US"/>
              </w:rPr>
              <w:lastRenderedPageBreak/>
              <w:t xml:space="preserve">предупреждения производственного травматизма 3.2. Техническое обеспечение безопасности зданий и сооружений, оборудования и инструмента, технологических процессов 3.3. Коллективные средства защиты: вентиляция, освещение, защита от шума и вибрации 3.4. Опасные производственные объекты и обеспечение промышленной безопасности 3.5. Организация безопасного производства работ с повышенной опасностью 3.6. Обеспечение электробезопасности 3.7. Обеспечение пожарной безопасности 3.8. Обеспечение безопасности работников в аварийных ситуациях. 4. </w:t>
            </w:r>
            <w:r>
              <w:rPr>
                <w:rFonts w:ascii="RobotoRegular" w:eastAsia="Calibri" w:hAnsi="RobotoRegular"/>
                <w:sz w:val="21"/>
                <w:szCs w:val="21"/>
                <w:shd w:val="clear" w:color="auto" w:fill="FFFFFF"/>
                <w:lang w:eastAsia="en-US"/>
              </w:rPr>
              <w:t>Социальная защита пострадавших на производстве</w:t>
            </w:r>
            <w:r>
              <w:rPr>
                <w:rFonts w:ascii="RobotoRegular" w:eastAsia="Calibri" w:hAnsi="RobotoRegular"/>
                <w:color w:val="333333"/>
                <w:sz w:val="21"/>
                <w:szCs w:val="21"/>
                <w:shd w:val="clear" w:color="auto" w:fill="FFFFFF"/>
                <w:lang w:eastAsia="en-US"/>
              </w:rPr>
              <w:t xml:space="preserve"> 4.1. Общие правовые принципы возмещения причиненного вреда 4.2. Обязательное социальное страхование от несчастных случаев на производстве и профессиональных заболеваний 4.3. Порядок расследования и учета несчастных случаев на производстве 4.4. Порядок расследования и учета профессиональных заболеваний 4.5. Оказание первой помощи пострадавшим на производстве </w:t>
            </w:r>
          </w:p>
        </w:tc>
      </w:tr>
      <w:tr w:rsidR="008D4148" w:rsidTr="008D4148">
        <w:tc>
          <w:tcPr>
            <w:tcW w:w="709" w:type="dxa"/>
            <w:tcBorders>
              <w:top w:val="single" w:sz="4" w:space="0" w:color="auto"/>
              <w:left w:val="single" w:sz="4" w:space="0" w:color="auto"/>
              <w:bottom w:val="single" w:sz="4" w:space="0" w:color="auto"/>
              <w:right w:val="single" w:sz="4" w:space="0" w:color="auto"/>
            </w:tcBorders>
            <w:hideMark/>
          </w:tcPr>
          <w:p w:rsidR="008D4148" w:rsidRDefault="008D4148">
            <w:pPr>
              <w:jc w:val="both"/>
              <w:rPr>
                <w:bCs/>
                <w:sz w:val="21"/>
                <w:szCs w:val="21"/>
              </w:rPr>
            </w:pPr>
            <w:r>
              <w:rPr>
                <w:bCs/>
                <w:sz w:val="21"/>
                <w:szCs w:val="21"/>
              </w:rPr>
              <w:lastRenderedPageBreak/>
              <w:t>9</w:t>
            </w:r>
          </w:p>
        </w:tc>
        <w:tc>
          <w:tcPr>
            <w:tcW w:w="2552" w:type="dxa"/>
            <w:tcBorders>
              <w:top w:val="single" w:sz="4" w:space="0" w:color="auto"/>
              <w:left w:val="single" w:sz="4" w:space="0" w:color="auto"/>
              <w:bottom w:val="single" w:sz="4" w:space="0" w:color="auto"/>
              <w:right w:val="single" w:sz="4" w:space="0" w:color="auto"/>
            </w:tcBorders>
            <w:hideMark/>
          </w:tcPr>
          <w:p w:rsidR="008D4148" w:rsidRDefault="008D4148">
            <w:pPr>
              <w:rPr>
                <w:bCs/>
                <w:sz w:val="21"/>
                <w:szCs w:val="21"/>
              </w:rPr>
            </w:pPr>
            <w:r>
              <w:rPr>
                <w:bCs/>
                <w:sz w:val="21"/>
                <w:szCs w:val="21"/>
              </w:rPr>
              <w:t>Минимальные требования к методическому обеспечению ДПП и раздаточному материалу</w:t>
            </w:r>
          </w:p>
        </w:tc>
        <w:tc>
          <w:tcPr>
            <w:tcW w:w="6804" w:type="dxa"/>
            <w:tcBorders>
              <w:top w:val="single" w:sz="4" w:space="0" w:color="auto"/>
              <w:left w:val="single" w:sz="4" w:space="0" w:color="auto"/>
              <w:bottom w:val="single" w:sz="4" w:space="0" w:color="auto"/>
              <w:right w:val="single" w:sz="4" w:space="0" w:color="auto"/>
            </w:tcBorders>
            <w:hideMark/>
          </w:tcPr>
          <w:p w:rsidR="008D4148" w:rsidRDefault="008D4148">
            <w:pPr>
              <w:ind w:right="-5" w:firstLine="317"/>
              <w:jc w:val="both"/>
              <w:rPr>
                <w:color w:val="FF0000"/>
                <w:sz w:val="21"/>
                <w:szCs w:val="21"/>
              </w:rPr>
            </w:pPr>
            <w:r>
              <w:rPr>
                <w:bCs/>
                <w:sz w:val="21"/>
                <w:szCs w:val="21"/>
              </w:rPr>
              <w:t xml:space="preserve">Методическое обеспечение ДПП </w:t>
            </w:r>
            <w:r>
              <w:rPr>
                <w:sz w:val="21"/>
                <w:szCs w:val="21"/>
              </w:rPr>
              <w:t>должно включать перечень образовательных ресурсов для всех компонентов ДПП, в том числе учебно-методическую и профильную литературу. Объем методического обеспечения – не менее 30 наименований образовательных ресурсов, профильной литературы (сформированной в пакет материалов в виде лекций).</w:t>
            </w:r>
          </w:p>
        </w:tc>
      </w:tr>
      <w:tr w:rsidR="008D4148" w:rsidTr="008D4148">
        <w:tc>
          <w:tcPr>
            <w:tcW w:w="709" w:type="dxa"/>
            <w:tcBorders>
              <w:top w:val="single" w:sz="4" w:space="0" w:color="auto"/>
              <w:left w:val="single" w:sz="4" w:space="0" w:color="auto"/>
              <w:bottom w:val="single" w:sz="4" w:space="0" w:color="auto"/>
              <w:right w:val="single" w:sz="4" w:space="0" w:color="auto"/>
            </w:tcBorders>
            <w:hideMark/>
          </w:tcPr>
          <w:p w:rsidR="008D4148" w:rsidRDefault="008D4148">
            <w:pPr>
              <w:jc w:val="both"/>
              <w:rPr>
                <w:bCs/>
                <w:sz w:val="21"/>
                <w:szCs w:val="21"/>
              </w:rPr>
            </w:pPr>
            <w:r>
              <w:rPr>
                <w:bCs/>
                <w:sz w:val="21"/>
                <w:szCs w:val="21"/>
              </w:rPr>
              <w:t>10</w:t>
            </w:r>
          </w:p>
        </w:tc>
        <w:tc>
          <w:tcPr>
            <w:tcW w:w="2552" w:type="dxa"/>
            <w:tcBorders>
              <w:top w:val="single" w:sz="4" w:space="0" w:color="auto"/>
              <w:left w:val="single" w:sz="4" w:space="0" w:color="auto"/>
              <w:bottom w:val="single" w:sz="4" w:space="0" w:color="auto"/>
              <w:right w:val="single" w:sz="4" w:space="0" w:color="auto"/>
            </w:tcBorders>
            <w:hideMark/>
          </w:tcPr>
          <w:p w:rsidR="008D4148" w:rsidRDefault="008D4148">
            <w:pPr>
              <w:rPr>
                <w:bCs/>
                <w:sz w:val="21"/>
                <w:szCs w:val="21"/>
              </w:rPr>
            </w:pPr>
            <w:r>
              <w:rPr>
                <w:bCs/>
                <w:sz w:val="21"/>
                <w:szCs w:val="21"/>
              </w:rPr>
              <w:t xml:space="preserve">Требования к результатам услуг </w:t>
            </w:r>
          </w:p>
          <w:p w:rsidR="008D4148" w:rsidRDefault="008D4148">
            <w:pPr>
              <w:rPr>
                <w:bCs/>
                <w:sz w:val="21"/>
                <w:szCs w:val="21"/>
              </w:rPr>
            </w:pPr>
            <w:r>
              <w:rPr>
                <w:bCs/>
                <w:sz w:val="21"/>
                <w:szCs w:val="21"/>
              </w:rPr>
              <w:t>и форме их представления</w:t>
            </w:r>
          </w:p>
        </w:tc>
        <w:tc>
          <w:tcPr>
            <w:tcW w:w="6804" w:type="dxa"/>
            <w:tcBorders>
              <w:top w:val="single" w:sz="4" w:space="0" w:color="auto"/>
              <w:left w:val="single" w:sz="4" w:space="0" w:color="auto"/>
              <w:bottom w:val="single" w:sz="4" w:space="0" w:color="auto"/>
              <w:right w:val="single" w:sz="4" w:space="0" w:color="auto"/>
            </w:tcBorders>
            <w:hideMark/>
          </w:tcPr>
          <w:p w:rsidR="008D4148" w:rsidRDefault="008D4148">
            <w:pPr>
              <w:shd w:val="clear" w:color="auto" w:fill="FFFFFF"/>
              <w:tabs>
                <w:tab w:val="left" w:pos="1498"/>
              </w:tabs>
              <w:ind w:firstLine="317"/>
              <w:jc w:val="both"/>
              <w:rPr>
                <w:color w:val="000000"/>
                <w:sz w:val="21"/>
                <w:szCs w:val="21"/>
              </w:rPr>
            </w:pPr>
            <w:r>
              <w:rPr>
                <w:color w:val="000000"/>
                <w:sz w:val="21"/>
                <w:szCs w:val="21"/>
              </w:rPr>
              <w:t>По результатам оказания услуг слушателям, успешно освоившим дополнительную профессиональную программу и прошедшим итоговую аттестацию, выдается удостоверение о повышении квалификации.</w:t>
            </w:r>
          </w:p>
          <w:p w:rsidR="008D4148" w:rsidRDefault="008D4148">
            <w:pPr>
              <w:ind w:firstLine="317"/>
              <w:jc w:val="both"/>
              <w:rPr>
                <w:sz w:val="21"/>
                <w:szCs w:val="21"/>
              </w:rPr>
            </w:pPr>
            <w:r>
              <w:rPr>
                <w:color w:val="000000"/>
                <w:sz w:val="21"/>
                <w:szCs w:val="21"/>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w:t>
            </w:r>
            <w:proofErr w:type="gramStart"/>
            <w:r>
              <w:rPr>
                <w:color w:val="000000"/>
                <w:sz w:val="21"/>
                <w:szCs w:val="21"/>
              </w:rPr>
              <w:t>обучения по образцу</w:t>
            </w:r>
            <w:proofErr w:type="gramEnd"/>
            <w:r>
              <w:rPr>
                <w:color w:val="000000"/>
                <w:sz w:val="21"/>
                <w:szCs w:val="21"/>
              </w:rPr>
              <w:t>, самостоятельно устанавливаемому организацией, осуществляющей образовательную деятельность.</w:t>
            </w:r>
          </w:p>
        </w:tc>
      </w:tr>
      <w:tr w:rsidR="008D4148" w:rsidTr="008D4148">
        <w:tc>
          <w:tcPr>
            <w:tcW w:w="709" w:type="dxa"/>
            <w:tcBorders>
              <w:top w:val="single" w:sz="4" w:space="0" w:color="auto"/>
              <w:left w:val="single" w:sz="4" w:space="0" w:color="auto"/>
              <w:bottom w:val="single" w:sz="4" w:space="0" w:color="auto"/>
              <w:right w:val="single" w:sz="4" w:space="0" w:color="auto"/>
            </w:tcBorders>
            <w:hideMark/>
          </w:tcPr>
          <w:p w:rsidR="008D4148" w:rsidRDefault="008D4148">
            <w:pPr>
              <w:jc w:val="both"/>
              <w:rPr>
                <w:bCs/>
                <w:sz w:val="21"/>
                <w:szCs w:val="21"/>
              </w:rPr>
            </w:pPr>
            <w:r>
              <w:rPr>
                <w:bCs/>
                <w:sz w:val="21"/>
                <w:szCs w:val="21"/>
              </w:rPr>
              <w:t>11</w:t>
            </w:r>
          </w:p>
        </w:tc>
        <w:tc>
          <w:tcPr>
            <w:tcW w:w="2552" w:type="dxa"/>
            <w:tcBorders>
              <w:top w:val="single" w:sz="4" w:space="0" w:color="auto"/>
              <w:left w:val="single" w:sz="4" w:space="0" w:color="auto"/>
              <w:bottom w:val="single" w:sz="4" w:space="0" w:color="auto"/>
              <w:right w:val="single" w:sz="4" w:space="0" w:color="auto"/>
            </w:tcBorders>
            <w:hideMark/>
          </w:tcPr>
          <w:p w:rsidR="008D4148" w:rsidRDefault="008D4148">
            <w:pPr>
              <w:rPr>
                <w:bCs/>
                <w:sz w:val="21"/>
                <w:szCs w:val="21"/>
              </w:rPr>
            </w:pPr>
            <w:r>
              <w:rPr>
                <w:bCs/>
                <w:sz w:val="21"/>
                <w:szCs w:val="21"/>
              </w:rPr>
              <w:t>Требования к объему и гарантиям качества услуг</w:t>
            </w:r>
          </w:p>
        </w:tc>
        <w:tc>
          <w:tcPr>
            <w:tcW w:w="6804" w:type="dxa"/>
            <w:tcBorders>
              <w:top w:val="single" w:sz="4" w:space="0" w:color="auto"/>
              <w:left w:val="single" w:sz="4" w:space="0" w:color="auto"/>
              <w:bottom w:val="single" w:sz="4" w:space="0" w:color="auto"/>
              <w:right w:val="single" w:sz="4" w:space="0" w:color="auto"/>
            </w:tcBorders>
            <w:hideMark/>
          </w:tcPr>
          <w:p w:rsidR="008D4148" w:rsidRDefault="008D4148">
            <w:pPr>
              <w:ind w:firstLine="317"/>
              <w:jc w:val="both"/>
              <w:rPr>
                <w:sz w:val="21"/>
                <w:szCs w:val="21"/>
              </w:rPr>
            </w:pPr>
            <w:r>
              <w:rPr>
                <w:sz w:val="21"/>
                <w:szCs w:val="21"/>
              </w:rPr>
              <w:t xml:space="preserve">Заказчиком во взаимодействии с Исполнителем организуется проведение оценки качества оказания услуг в отношении соответствия результатов освоения ДПП ее целям и ожиданиям слушателей, а также соответствия процесса организации обучения установленным требованиям. </w:t>
            </w:r>
          </w:p>
          <w:p w:rsidR="008D4148" w:rsidRDefault="008D4148">
            <w:pPr>
              <w:ind w:firstLine="317"/>
              <w:jc w:val="both"/>
              <w:rPr>
                <w:color w:val="FF0000"/>
                <w:sz w:val="21"/>
                <w:szCs w:val="21"/>
              </w:rPr>
            </w:pPr>
            <w:r>
              <w:rPr>
                <w:sz w:val="21"/>
                <w:szCs w:val="21"/>
              </w:rPr>
              <w:t>Для осуществления оценки качества оказания услуг Исполнителем, по запросу Заказчика, в течение 3 рабочих дней с момента получения запроса, должны быть представлены не менее 20 вопросов-тестов. Форма запроса Заказчика – в электронном виде (посредством направления электронного письма</w:t>
            </w:r>
            <w:bookmarkStart w:id="0" w:name="_GoBack"/>
            <w:bookmarkEnd w:id="0"/>
            <w:r>
              <w:rPr>
                <w:sz w:val="21"/>
                <w:szCs w:val="21"/>
              </w:rPr>
              <w:t xml:space="preserve"> в адрес Исполнителя). Тематика вопросов – в соответствии с учебным планом ДПП.</w:t>
            </w:r>
          </w:p>
        </w:tc>
      </w:tr>
      <w:tr w:rsidR="008D4148" w:rsidTr="008D4148">
        <w:tc>
          <w:tcPr>
            <w:tcW w:w="709" w:type="dxa"/>
            <w:tcBorders>
              <w:top w:val="single" w:sz="4" w:space="0" w:color="auto"/>
              <w:left w:val="single" w:sz="4" w:space="0" w:color="auto"/>
              <w:bottom w:val="single" w:sz="4" w:space="0" w:color="auto"/>
              <w:right w:val="single" w:sz="4" w:space="0" w:color="auto"/>
            </w:tcBorders>
            <w:hideMark/>
          </w:tcPr>
          <w:p w:rsidR="008D4148" w:rsidRDefault="008D4148">
            <w:pPr>
              <w:jc w:val="both"/>
              <w:rPr>
                <w:bCs/>
                <w:sz w:val="21"/>
                <w:szCs w:val="21"/>
              </w:rPr>
            </w:pPr>
            <w:r>
              <w:rPr>
                <w:bCs/>
                <w:sz w:val="21"/>
                <w:szCs w:val="21"/>
              </w:rPr>
              <w:t>12</w:t>
            </w:r>
          </w:p>
        </w:tc>
        <w:tc>
          <w:tcPr>
            <w:tcW w:w="2552" w:type="dxa"/>
            <w:tcBorders>
              <w:top w:val="single" w:sz="4" w:space="0" w:color="auto"/>
              <w:left w:val="single" w:sz="4" w:space="0" w:color="auto"/>
              <w:bottom w:val="single" w:sz="4" w:space="0" w:color="auto"/>
              <w:right w:val="single" w:sz="4" w:space="0" w:color="auto"/>
            </w:tcBorders>
            <w:hideMark/>
          </w:tcPr>
          <w:p w:rsidR="008D4148" w:rsidRDefault="008D4148">
            <w:pPr>
              <w:rPr>
                <w:sz w:val="21"/>
                <w:szCs w:val="21"/>
              </w:rPr>
            </w:pPr>
            <w:r>
              <w:rPr>
                <w:sz w:val="21"/>
                <w:szCs w:val="21"/>
              </w:rPr>
              <w:t xml:space="preserve">Иные требования к услугам и условиям их оказания </w:t>
            </w:r>
          </w:p>
        </w:tc>
        <w:tc>
          <w:tcPr>
            <w:tcW w:w="6804" w:type="dxa"/>
            <w:tcBorders>
              <w:top w:val="single" w:sz="4" w:space="0" w:color="auto"/>
              <w:left w:val="single" w:sz="4" w:space="0" w:color="auto"/>
              <w:bottom w:val="single" w:sz="4" w:space="0" w:color="auto"/>
              <w:right w:val="single" w:sz="4" w:space="0" w:color="auto"/>
            </w:tcBorders>
          </w:tcPr>
          <w:p w:rsidR="008D4148" w:rsidRDefault="008D4148">
            <w:pPr>
              <w:tabs>
                <w:tab w:val="num" w:pos="0"/>
              </w:tabs>
              <w:ind w:firstLine="317"/>
              <w:jc w:val="both"/>
              <w:rPr>
                <w:sz w:val="21"/>
                <w:szCs w:val="21"/>
              </w:rPr>
            </w:pPr>
            <w:r>
              <w:rPr>
                <w:sz w:val="21"/>
                <w:szCs w:val="21"/>
              </w:rPr>
              <w:t xml:space="preserve">Для оказания услуг Исполнитель должен иметь: </w:t>
            </w:r>
          </w:p>
          <w:p w:rsidR="008D4148" w:rsidRDefault="008D4148">
            <w:pPr>
              <w:tabs>
                <w:tab w:val="num" w:pos="0"/>
              </w:tabs>
              <w:ind w:firstLine="317"/>
              <w:jc w:val="both"/>
              <w:rPr>
                <w:sz w:val="21"/>
                <w:szCs w:val="21"/>
              </w:rPr>
            </w:pPr>
            <w:r>
              <w:rPr>
                <w:sz w:val="21"/>
                <w:szCs w:val="21"/>
              </w:rPr>
              <w:t xml:space="preserve">лицензию на </w:t>
            </w:r>
            <w:proofErr w:type="gramStart"/>
            <w:r>
              <w:rPr>
                <w:sz w:val="21"/>
                <w:szCs w:val="21"/>
              </w:rPr>
              <w:t>право ведения</w:t>
            </w:r>
            <w:proofErr w:type="gramEnd"/>
            <w:r>
              <w:rPr>
                <w:sz w:val="21"/>
                <w:szCs w:val="21"/>
              </w:rPr>
              <w:t xml:space="preserve"> образовательной деятельности в сфере дополнительного профессионального образования, в соответствии с Федеральными законами от 29 декабря 2012 года № 273-ФЗ «Об образовании в Российской Федерации», от 04 мая 2011 года № 99-ФЗ «О лицензировании отдельных видов деятельности»;</w:t>
            </w:r>
          </w:p>
          <w:p w:rsidR="008D4148" w:rsidRDefault="008D4148">
            <w:pPr>
              <w:tabs>
                <w:tab w:val="num" w:pos="0"/>
              </w:tabs>
              <w:ind w:firstLine="317"/>
              <w:jc w:val="both"/>
              <w:rPr>
                <w:sz w:val="21"/>
                <w:szCs w:val="21"/>
              </w:rPr>
            </w:pPr>
            <w:r>
              <w:rPr>
                <w:sz w:val="21"/>
                <w:szCs w:val="21"/>
              </w:rPr>
              <w:t xml:space="preserve">ответственное лицо, закрепленное Исполнителем для взаимодействия с Заказчиком и кураторства по отношению к слушателям на период повышения квалификации, решения оперативных вопросов в </w:t>
            </w:r>
            <w:proofErr w:type="spellStart"/>
            <w:r>
              <w:rPr>
                <w:sz w:val="21"/>
                <w:szCs w:val="21"/>
              </w:rPr>
              <w:t>г</w:t>
            </w:r>
            <w:proofErr w:type="gramStart"/>
            <w:r>
              <w:rPr>
                <w:sz w:val="21"/>
                <w:szCs w:val="21"/>
              </w:rPr>
              <w:t>.Ю</w:t>
            </w:r>
            <w:proofErr w:type="gramEnd"/>
            <w:r>
              <w:rPr>
                <w:sz w:val="21"/>
                <w:szCs w:val="21"/>
              </w:rPr>
              <w:t>горске</w:t>
            </w:r>
            <w:proofErr w:type="spellEnd"/>
            <w:r>
              <w:rPr>
                <w:sz w:val="21"/>
                <w:szCs w:val="21"/>
              </w:rPr>
              <w:t>.</w:t>
            </w:r>
          </w:p>
          <w:p w:rsidR="008D4148" w:rsidRDefault="008D4148">
            <w:pPr>
              <w:tabs>
                <w:tab w:val="num" w:pos="0"/>
              </w:tabs>
              <w:ind w:firstLine="317"/>
              <w:jc w:val="both"/>
              <w:rPr>
                <w:sz w:val="21"/>
                <w:szCs w:val="21"/>
              </w:rPr>
            </w:pPr>
          </w:p>
        </w:tc>
      </w:tr>
    </w:tbl>
    <w:p w:rsidR="008D4148" w:rsidRDefault="008D4148" w:rsidP="008D4148">
      <w:pPr>
        <w:jc w:val="both"/>
        <w:rPr>
          <w:bCs/>
        </w:rPr>
      </w:pPr>
      <w:r>
        <w:rPr>
          <w:bCs/>
        </w:rPr>
        <w:t>Согласовано:</w:t>
      </w:r>
    </w:p>
    <w:p w:rsidR="008D4148" w:rsidRDefault="008D4148" w:rsidP="008D4148">
      <w:pPr>
        <w:ind w:left="-709" w:hanging="142"/>
        <w:jc w:val="both"/>
        <w:rPr>
          <w:bCs/>
        </w:rPr>
      </w:pPr>
      <w:r>
        <w:rPr>
          <w:bCs/>
        </w:rPr>
        <w:t>Начальник управления</w:t>
      </w:r>
    </w:p>
    <w:p w:rsidR="008D4148" w:rsidRDefault="008D4148" w:rsidP="008D4148">
      <w:pPr>
        <w:ind w:hanging="851"/>
        <w:jc w:val="both"/>
        <w:rPr>
          <w:bCs/>
        </w:rPr>
      </w:pPr>
      <w:r>
        <w:rPr>
          <w:bCs/>
        </w:rPr>
        <w:t xml:space="preserve">по вопросам муниципальной службы, кадров и архивов                                            Е.А. </w:t>
      </w:r>
      <w:proofErr w:type="spellStart"/>
      <w:r>
        <w:rPr>
          <w:bCs/>
        </w:rPr>
        <w:t>Бодак</w:t>
      </w:r>
      <w:proofErr w:type="spellEnd"/>
    </w:p>
    <w:p w:rsidR="008D4148" w:rsidRDefault="008D4148" w:rsidP="008D4148">
      <w:pPr>
        <w:jc w:val="both"/>
        <w:rPr>
          <w:sz w:val="22"/>
          <w:szCs w:val="22"/>
        </w:rPr>
      </w:pPr>
    </w:p>
    <w:p w:rsidR="00AF282B" w:rsidRDefault="00AF282B"/>
    <w:sectPr w:rsidR="00AF28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Roboto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725"/>
    <w:rsid w:val="008D4148"/>
    <w:rsid w:val="00AF282B"/>
    <w:rsid w:val="00C94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1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4148"/>
    <w:rPr>
      <w:rFonts w:ascii="Tahoma" w:hAnsi="Tahoma" w:cs="Tahoma"/>
      <w:sz w:val="16"/>
      <w:szCs w:val="16"/>
    </w:rPr>
  </w:style>
  <w:style w:type="character" w:customStyle="1" w:styleId="a4">
    <w:name w:val="Текст выноски Знак"/>
    <w:basedOn w:val="a0"/>
    <w:link w:val="a3"/>
    <w:uiPriority w:val="99"/>
    <w:semiHidden/>
    <w:rsid w:val="008D414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1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4148"/>
    <w:rPr>
      <w:rFonts w:ascii="Tahoma" w:hAnsi="Tahoma" w:cs="Tahoma"/>
      <w:sz w:val="16"/>
      <w:szCs w:val="16"/>
    </w:rPr>
  </w:style>
  <w:style w:type="character" w:customStyle="1" w:styleId="a4">
    <w:name w:val="Текст выноски Знак"/>
    <w:basedOn w:val="a0"/>
    <w:link w:val="a3"/>
    <w:uiPriority w:val="99"/>
    <w:semiHidden/>
    <w:rsid w:val="008D414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3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1486</Words>
  <Characters>8476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Ловыгина Наталья Борисовна</dc:creator>
  <cp:keywords/>
  <dc:description/>
  <cp:lastModifiedBy>Ловыгина Наталья Борисовна</cp:lastModifiedBy>
  <cp:revision>3</cp:revision>
  <cp:lastPrinted>2016-05-20T09:03:00Z</cp:lastPrinted>
  <dcterms:created xsi:type="dcterms:W3CDTF">2016-05-20T08:57:00Z</dcterms:created>
  <dcterms:modified xsi:type="dcterms:W3CDTF">2016-05-20T09:03:00Z</dcterms:modified>
</cp:coreProperties>
</file>