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0F" w:rsidRDefault="00667944" w:rsidP="00C7190F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  <w:r w:rsidR="005B0783">
        <w:rPr>
          <w:rFonts w:ascii="Times New Roman" w:hAnsi="Times New Roman"/>
          <w:b/>
          <w:sz w:val="24"/>
          <w:szCs w:val="24"/>
        </w:rPr>
        <w:t xml:space="preserve">к </w:t>
      </w:r>
      <w:r w:rsidRPr="00667944">
        <w:rPr>
          <w:rFonts w:ascii="Times New Roman" w:hAnsi="Times New Roman"/>
          <w:b/>
          <w:sz w:val="24"/>
          <w:szCs w:val="24"/>
        </w:rPr>
        <w:t xml:space="preserve">отчету о ходе реализации </w:t>
      </w:r>
      <w:r w:rsidR="00E61E33">
        <w:rPr>
          <w:rFonts w:ascii="Times New Roman" w:hAnsi="Times New Roman"/>
          <w:b/>
          <w:sz w:val="24"/>
          <w:szCs w:val="24"/>
        </w:rPr>
        <w:t>муниципальной</w:t>
      </w:r>
      <w:r w:rsidRPr="00667944">
        <w:rPr>
          <w:rFonts w:ascii="Times New Roman" w:hAnsi="Times New Roman"/>
          <w:b/>
          <w:sz w:val="24"/>
          <w:szCs w:val="24"/>
        </w:rPr>
        <w:t xml:space="preserve"> программы «</w:t>
      </w:r>
      <w:r w:rsidR="005B0783">
        <w:rPr>
          <w:rFonts w:ascii="Times New Roman" w:hAnsi="Times New Roman"/>
          <w:b/>
          <w:sz w:val="24"/>
          <w:szCs w:val="24"/>
        </w:rPr>
        <w:t xml:space="preserve">Обеспечение доступным </w:t>
      </w:r>
      <w:r w:rsidR="00D5327E">
        <w:rPr>
          <w:rFonts w:ascii="Times New Roman" w:hAnsi="Times New Roman"/>
          <w:b/>
          <w:sz w:val="24"/>
          <w:szCs w:val="24"/>
        </w:rPr>
        <w:t xml:space="preserve">и комфортным </w:t>
      </w:r>
      <w:r w:rsidR="005B0783">
        <w:rPr>
          <w:rFonts w:ascii="Times New Roman" w:hAnsi="Times New Roman"/>
          <w:b/>
          <w:sz w:val="24"/>
          <w:szCs w:val="24"/>
        </w:rPr>
        <w:t>жильем жителей</w:t>
      </w:r>
      <w:r w:rsidR="00E61E33" w:rsidRPr="00E61E33">
        <w:rPr>
          <w:rFonts w:ascii="Times New Roman" w:hAnsi="Times New Roman"/>
          <w:b/>
          <w:sz w:val="24"/>
          <w:szCs w:val="24"/>
        </w:rPr>
        <w:t xml:space="preserve"> в городе Югорске на 2014-2020 годы</w:t>
      </w:r>
      <w:r w:rsidRPr="00667944">
        <w:rPr>
          <w:rFonts w:ascii="Times New Roman" w:hAnsi="Times New Roman"/>
          <w:b/>
          <w:sz w:val="24"/>
          <w:szCs w:val="24"/>
        </w:rPr>
        <w:t xml:space="preserve">» по состоянию на </w:t>
      </w:r>
      <w:r w:rsidR="006B324A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</w:t>
      </w:r>
      <w:r w:rsidR="003B704B">
        <w:rPr>
          <w:rFonts w:ascii="Times New Roman" w:hAnsi="Times New Roman"/>
          <w:b/>
          <w:sz w:val="24"/>
          <w:szCs w:val="24"/>
        </w:rPr>
        <w:t>01</w:t>
      </w:r>
      <w:r w:rsidRPr="00667944">
        <w:rPr>
          <w:rFonts w:ascii="Times New Roman" w:hAnsi="Times New Roman"/>
          <w:b/>
          <w:sz w:val="24"/>
          <w:szCs w:val="24"/>
        </w:rPr>
        <w:t>.201</w:t>
      </w:r>
      <w:r w:rsidR="003B704B">
        <w:rPr>
          <w:rFonts w:ascii="Times New Roman" w:hAnsi="Times New Roman"/>
          <w:b/>
          <w:sz w:val="24"/>
          <w:szCs w:val="24"/>
        </w:rPr>
        <w:t>5</w:t>
      </w:r>
      <w:r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190F" w:rsidRPr="0066020A" w:rsidRDefault="00C7190F" w:rsidP="0066020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Оказание финансовой поддержки на приобретение жилья гражданам города Югорска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Содействие реализации проектов жилищного строительства, предусматривающих строительство жилья </w:t>
      </w:r>
      <w:proofErr w:type="gramStart"/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эконом-класса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BE7F02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C549D9">
        <w:rPr>
          <w:rFonts w:ascii="Times New Roman" w:hAnsi="Times New Roman"/>
          <w:sz w:val="24"/>
          <w:szCs w:val="24"/>
        </w:rPr>
        <w:t>Стимулирование индивидуального жилищного строительства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на 2014 год </w:t>
      </w:r>
      <w:r w:rsidR="00C73E4B" w:rsidRPr="00234501">
        <w:rPr>
          <w:rFonts w:ascii="Times New Roman" w:hAnsi="Times New Roman" w:cs="Times New Roman"/>
          <w:sz w:val="24"/>
          <w:szCs w:val="24"/>
        </w:rPr>
        <w:t>составил 580 691,7 тыс. рублей, из них окружной бюджет – 506</w:t>
      </w:r>
      <w:r w:rsidR="00D5327E" w:rsidRPr="00234501">
        <w:rPr>
          <w:rFonts w:ascii="Times New Roman" w:hAnsi="Times New Roman" w:cs="Times New Roman"/>
          <w:sz w:val="24"/>
          <w:szCs w:val="24"/>
        </w:rPr>
        <w:t> </w:t>
      </w:r>
      <w:r w:rsidR="00C73E4B" w:rsidRPr="00234501">
        <w:rPr>
          <w:rFonts w:ascii="Times New Roman" w:hAnsi="Times New Roman" w:cs="Times New Roman"/>
          <w:sz w:val="24"/>
          <w:szCs w:val="24"/>
        </w:rPr>
        <w:t>207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в том числе оплата приобретенного жилья </w:t>
      </w:r>
      <w:proofErr w:type="gramStart"/>
      <w:r w:rsidR="00222FD9" w:rsidRPr="002345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22FD9" w:rsidRPr="00234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2FD9" w:rsidRPr="00234501">
        <w:rPr>
          <w:rFonts w:ascii="Times New Roman" w:hAnsi="Times New Roman" w:cs="Times New Roman"/>
          <w:sz w:val="24"/>
          <w:szCs w:val="24"/>
        </w:rPr>
        <w:t>контрактам, заключенным в 2013 году – 77 467,5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местный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71 225,0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C73E4B" w:rsidRPr="00234501">
        <w:rPr>
          <w:rFonts w:ascii="Times New Roman" w:hAnsi="Times New Roman" w:cs="Times New Roman"/>
          <w:sz w:val="24"/>
          <w:szCs w:val="24"/>
        </w:rPr>
        <w:t>575 061,3 тыс. рублей, из них окружной бюджет – 501 134,</w:t>
      </w:r>
      <w:r w:rsidR="000457CE" w:rsidRPr="00234501">
        <w:rPr>
          <w:rFonts w:ascii="Times New Roman" w:hAnsi="Times New Roman" w:cs="Times New Roman"/>
          <w:sz w:val="24"/>
          <w:szCs w:val="24"/>
        </w:rPr>
        <w:t>1 тыс. рублей, местный бюджет – 70 661,4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что составляет 99,03% исполнения данной программы.</w:t>
      </w:r>
      <w:proofErr w:type="gramEnd"/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0457CE" w:rsidRPr="00234501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2820B7" w:rsidRPr="0023450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5 630,4 тыс. рублей, из них окружной бюджет – 5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0457CE" w:rsidRPr="00234501">
        <w:rPr>
          <w:rFonts w:ascii="Times New Roman" w:hAnsi="Times New Roman" w:cs="Times New Roman"/>
          <w:sz w:val="24"/>
          <w:szCs w:val="24"/>
        </w:rPr>
        <w:t>066,6 тыс. рублей, местный бюджет – 563,6 тыс. рублей</w:t>
      </w:r>
      <w:r w:rsidR="002820B7" w:rsidRPr="00234501">
        <w:rPr>
          <w:rFonts w:ascii="Times New Roman" w:hAnsi="Times New Roman" w:cs="Times New Roman"/>
          <w:sz w:val="24"/>
          <w:szCs w:val="24"/>
        </w:rPr>
        <w:t>, который буде</w:t>
      </w:r>
      <w:r w:rsidR="009A1991" w:rsidRPr="00234501">
        <w:rPr>
          <w:rFonts w:ascii="Times New Roman" w:hAnsi="Times New Roman" w:cs="Times New Roman"/>
          <w:sz w:val="24"/>
          <w:szCs w:val="24"/>
        </w:rPr>
        <w:t>т использован в 2015 году, так как на указанную сумму имеются обязательства по заключенным в 2014 году муниципальным контрактам об участии в долевом строительстве благоустроенных квартир.</w:t>
      </w:r>
    </w:p>
    <w:p w:rsidR="005025C7" w:rsidRDefault="005025C7" w:rsidP="005025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муниципальной программы по подпрограмме 1 «Развитие градостроительной деятельности» были произведены расходы  по мероприятиям:</w:t>
      </w:r>
    </w:p>
    <w:p w:rsidR="005025C7" w:rsidRDefault="005025C7" w:rsidP="005025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«Обеспечение топографическими картами территории города Югорска»: план на 2014 год составил 2 507,5 тыс. рублей, из них окружной бюджет – 1 253,6 тыс. рублей, местный бюджет – 1253,9 тыс. рублей, что составляет 100 % исполнение мероприятия. Выполнена топографическая съемка М 1:2000 площадью 2334 га.</w:t>
      </w:r>
    </w:p>
    <w:p w:rsidR="005025C7" w:rsidRPr="00234501" w:rsidRDefault="005025C7" w:rsidP="005025C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6E649F">
        <w:rPr>
          <w:rFonts w:ascii="Times New Roman" w:hAnsi="Times New Roman" w:cs="Times New Roman"/>
          <w:sz w:val="24"/>
          <w:szCs w:val="24"/>
        </w:rPr>
        <w:t>Разработка комплексной системы управления развитием территории</w:t>
      </w:r>
      <w:r>
        <w:rPr>
          <w:rFonts w:ascii="Times New Roman" w:hAnsi="Times New Roman" w:cs="Times New Roman"/>
          <w:sz w:val="24"/>
          <w:szCs w:val="24"/>
        </w:rPr>
        <w:t xml:space="preserve">»:  </w:t>
      </w:r>
      <w:r w:rsidRPr="006E64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на 2014 год составил 21 236,1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из них окружной бюджет – 6 250,6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рублей, местный бюджет – 14 985,5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 рублей, что составляет 100 % исполнение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Создана автоматизированная информационной система</w:t>
      </w:r>
      <w:r w:rsidRPr="00C05894">
        <w:rPr>
          <w:rFonts w:ascii="Times New Roman" w:hAnsi="Times New Roman" w:cs="Times New Roman"/>
          <w:sz w:val="24"/>
          <w:szCs w:val="24"/>
        </w:rPr>
        <w:t xml:space="preserve"> обеспечения градострои</w:t>
      </w:r>
      <w:r>
        <w:rPr>
          <w:rFonts w:ascii="Times New Roman" w:hAnsi="Times New Roman" w:cs="Times New Roman"/>
          <w:sz w:val="24"/>
          <w:szCs w:val="24"/>
        </w:rPr>
        <w:t>тельной деятельности  (ИСОГД); проведены землеустроительные работы по установлению границ населенного пункта; разработана программа</w:t>
      </w:r>
      <w:r w:rsidRPr="00C05894">
        <w:rPr>
          <w:rFonts w:ascii="Times New Roman" w:hAnsi="Times New Roman" w:cs="Times New Roman"/>
          <w:sz w:val="24"/>
          <w:szCs w:val="24"/>
        </w:rPr>
        <w:t xml:space="preserve"> инвестиционного освоения территории; </w:t>
      </w:r>
      <w:r>
        <w:rPr>
          <w:rFonts w:ascii="Times New Roman" w:hAnsi="Times New Roman" w:cs="Times New Roman"/>
          <w:sz w:val="24"/>
          <w:szCs w:val="24"/>
        </w:rPr>
        <w:t>разработана документация по планировке территорий города Югорска, в том числе: проекты</w:t>
      </w:r>
      <w:r w:rsidRPr="00C05894">
        <w:rPr>
          <w:rFonts w:ascii="Times New Roman" w:hAnsi="Times New Roman" w:cs="Times New Roman"/>
          <w:sz w:val="24"/>
          <w:szCs w:val="24"/>
        </w:rPr>
        <w:t xml:space="preserve"> планировки</w:t>
      </w:r>
      <w:r>
        <w:rPr>
          <w:rFonts w:ascii="Times New Roman" w:hAnsi="Times New Roman" w:cs="Times New Roman"/>
          <w:sz w:val="24"/>
          <w:szCs w:val="24"/>
        </w:rPr>
        <w:t xml:space="preserve"> 5, </w:t>
      </w:r>
      <w:r>
        <w:rPr>
          <w:rFonts w:ascii="Times New Roman" w:hAnsi="Times New Roman" w:cs="Times New Roman"/>
          <w:sz w:val="24"/>
          <w:szCs w:val="24"/>
        </w:rPr>
        <w:lastRenderedPageBreak/>
        <w:t>7,</w:t>
      </w:r>
      <w:r w:rsidRPr="00C05894">
        <w:rPr>
          <w:rFonts w:ascii="Times New Roman" w:hAnsi="Times New Roman" w:cs="Times New Roman"/>
          <w:sz w:val="24"/>
          <w:szCs w:val="24"/>
        </w:rPr>
        <w:t xml:space="preserve"> 7б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1. 4. 9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14а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3, 12, 13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894">
        <w:rPr>
          <w:rFonts w:ascii="Times New Roman" w:hAnsi="Times New Roman" w:cs="Times New Roman"/>
          <w:sz w:val="24"/>
          <w:szCs w:val="24"/>
        </w:rPr>
        <w:t xml:space="preserve"> 16а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15 микрорайонов города, Югорска-2, Южной и северной промышленных зон. </w:t>
      </w:r>
      <w:proofErr w:type="gramEnd"/>
    </w:p>
    <w:p w:rsidR="00234501" w:rsidRPr="00234501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по подпрограмме 2. «Жилье» </w:t>
      </w:r>
      <w:r w:rsidR="00512E5F" w:rsidRPr="00234501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по мероприятиям</w:t>
      </w:r>
      <w:r w:rsidR="00512E5F" w:rsidRPr="00234501">
        <w:rPr>
          <w:rFonts w:ascii="Times New Roman" w:hAnsi="Times New Roman" w:cs="Times New Roman"/>
          <w:sz w:val="24"/>
          <w:szCs w:val="24"/>
        </w:rPr>
        <w:t>:</w:t>
      </w:r>
    </w:p>
    <w:p w:rsidR="00234501" w:rsidRPr="00234501" w:rsidRDefault="00462D6F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234501">
        <w:rPr>
          <w:rFonts w:ascii="Times New Roman" w:hAnsi="Times New Roman" w:cs="Times New Roman"/>
          <w:sz w:val="24"/>
          <w:szCs w:val="24"/>
        </w:rPr>
        <w:t>«Обеспечение субсидиями молодых семей города Югорска».</w:t>
      </w:r>
    </w:p>
    <w:p w:rsidR="001B1D34" w:rsidRDefault="00D64F61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>Уточненный план на 2014 год составил 10 624,4 тыс. рублей, из них федеральный бюджет – 1 062,5 тыс. рублей, окружной бюджет – 9 030,7 тыс. рублей, местный бюджет – 531,2 тыс. рублей, кассовое исполнение составило 10 624,3 тыс. рублей, из них федеральный бюджет -1 062,4 тыс. рублей, окружной бюджет – 9 030,7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местный бюджет - </w:t>
      </w:r>
      <w:r w:rsidRPr="00234501">
        <w:rPr>
          <w:rFonts w:ascii="Times New Roman" w:hAnsi="Times New Roman" w:cs="Times New Roman"/>
          <w:sz w:val="24"/>
          <w:szCs w:val="24"/>
        </w:rPr>
        <w:t xml:space="preserve">531,2 тыс. рублей, что составляет 100 % исполнение мероприятия. </w:t>
      </w:r>
      <w:proofErr w:type="gramEnd"/>
    </w:p>
    <w:p w:rsidR="001B1D34" w:rsidRPr="00704191" w:rsidRDefault="00777236" w:rsidP="005D01E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1ED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5D01ED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5D01ED">
        <w:rPr>
          <w:rFonts w:ascii="Times New Roman" w:hAnsi="Times New Roman" w:cs="Times New Roman"/>
          <w:sz w:val="24"/>
          <w:szCs w:val="24"/>
        </w:rPr>
        <w:t xml:space="preserve"> </w:t>
      </w:r>
      <w:r w:rsidR="0019524B" w:rsidRPr="005D01ED">
        <w:rPr>
          <w:rFonts w:ascii="Times New Roman" w:hAnsi="Times New Roman" w:cs="Times New Roman"/>
          <w:sz w:val="24"/>
          <w:szCs w:val="24"/>
        </w:rPr>
        <w:t>предоставлено</w:t>
      </w:r>
      <w:r w:rsidR="007C6991" w:rsidRPr="005D01ED">
        <w:rPr>
          <w:rFonts w:ascii="Times New Roman" w:hAnsi="Times New Roman" w:cs="Times New Roman"/>
          <w:sz w:val="24"/>
          <w:szCs w:val="24"/>
        </w:rPr>
        <w:t xml:space="preserve"> 12 </w:t>
      </w:r>
      <w:r w:rsidR="0019524B" w:rsidRPr="005D01ED">
        <w:rPr>
          <w:rFonts w:ascii="Times New Roman" w:hAnsi="Times New Roman" w:cs="Times New Roman"/>
          <w:sz w:val="24"/>
          <w:szCs w:val="24"/>
        </w:rPr>
        <w:t xml:space="preserve">субсидий в виде </w:t>
      </w:r>
      <w:r w:rsidR="007C6991" w:rsidRPr="005D01ED">
        <w:rPr>
          <w:rFonts w:ascii="Times New Roman" w:hAnsi="Times New Roman" w:cs="Times New Roman"/>
          <w:sz w:val="24"/>
          <w:szCs w:val="24"/>
        </w:rPr>
        <w:t xml:space="preserve">социальных выплат на </w:t>
      </w:r>
      <w:r w:rsidR="0019524B" w:rsidRPr="005D01ED">
        <w:rPr>
          <w:rFonts w:ascii="Times New Roman" w:hAnsi="Times New Roman" w:cs="Times New Roman"/>
          <w:sz w:val="24"/>
          <w:szCs w:val="24"/>
        </w:rPr>
        <w:t>приобретение (строительство) жилых помещений в собственность</w:t>
      </w:r>
      <w:r w:rsidR="00704191" w:rsidRPr="005D01ED">
        <w:rPr>
          <w:rFonts w:ascii="Times New Roman" w:hAnsi="Times New Roman" w:cs="Times New Roman"/>
          <w:sz w:val="24"/>
          <w:szCs w:val="24"/>
        </w:rPr>
        <w:t xml:space="preserve"> на основании Соглашения</w:t>
      </w:r>
      <w:r w:rsidR="005D01ED" w:rsidRPr="005D01ED">
        <w:rPr>
          <w:rFonts w:ascii="Times New Roman" w:hAnsi="Times New Roman" w:cs="Times New Roman"/>
          <w:sz w:val="24"/>
          <w:szCs w:val="24"/>
        </w:rPr>
        <w:t xml:space="preserve"> </w:t>
      </w:r>
      <w:r w:rsidR="005D01ED" w:rsidRPr="005D01ED">
        <w:rPr>
          <w:rFonts w:ascii="Times New Roman" w:hAnsi="Times New Roman" w:cs="Times New Roman"/>
          <w:sz w:val="24"/>
          <w:szCs w:val="24"/>
        </w:rPr>
        <w:t>о предоставлении в 2014 году средств федерального</w:t>
      </w:r>
      <w:r w:rsidR="005D01ED">
        <w:rPr>
          <w:rFonts w:ascii="Times New Roman" w:hAnsi="Times New Roman" w:cs="Times New Roman"/>
          <w:sz w:val="24"/>
          <w:szCs w:val="24"/>
        </w:rPr>
        <w:t xml:space="preserve"> </w:t>
      </w:r>
      <w:r w:rsidR="005D01ED" w:rsidRPr="005D01ED">
        <w:rPr>
          <w:rFonts w:ascii="Times New Roman" w:hAnsi="Times New Roman" w:cs="Times New Roman"/>
          <w:sz w:val="24"/>
          <w:szCs w:val="24"/>
        </w:rPr>
        <w:t>бюджета, бюджета Ханты-Мансийского автономного округа – Югры бюджету муниципального образования город Югорск на финансирование мероприятия «Обеспечение жильем молодых семей в соответствии с федеральной целевой программой «Жилище» на предоставление социальных выплат молодым семьям</w:t>
      </w:r>
      <w:proofErr w:type="gramEnd"/>
      <w:r w:rsidR="005D01ED" w:rsidRPr="005D0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1ED" w:rsidRPr="005D01ED">
        <w:rPr>
          <w:rFonts w:ascii="Times New Roman" w:hAnsi="Times New Roman" w:cs="Times New Roman"/>
          <w:sz w:val="24"/>
          <w:szCs w:val="24"/>
        </w:rPr>
        <w:t>для приобретения (строительства) жилья в рамках подпрограммы «Обеспечение жильем молодых семей» федеральной целевой программы «Жилище» на 2011 - 2015 годы</w:t>
      </w:r>
      <w:r w:rsidR="00704191">
        <w:rPr>
          <w:rFonts w:ascii="Times New Roman" w:hAnsi="Times New Roman" w:cs="Times New Roman"/>
          <w:sz w:val="24"/>
          <w:szCs w:val="24"/>
        </w:rPr>
        <w:t xml:space="preserve">, заключенного между администрацией города Югорска и Департаментом строительства Ханты-Мансийского автономного округа-Югры, </w:t>
      </w:r>
      <w:r w:rsidR="001B1D34" w:rsidRPr="00704191"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Федерации, Федеральным законом от 2 декабря 2013 года № 349-ФЗ «О федеральном бюджете на 2014 год и на плановый период 2015 и 2016 годов», подпрограммой</w:t>
      </w:r>
      <w:proofErr w:type="gramEnd"/>
      <w:r w:rsidR="001B1D34" w:rsidRPr="00704191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1B1D34" w:rsidRPr="00704191">
        <w:rPr>
          <w:rFonts w:ascii="Times New Roman" w:hAnsi="Times New Roman"/>
          <w:sz w:val="24"/>
          <w:szCs w:val="24"/>
        </w:rPr>
        <w:t xml:space="preserve">Обеспечение жильем молодых семей» федеральной целевой программы «Жилище» на 2011-2015 годы (далее - Подпрограмма), Правилами предоставления субсидий из федерального бюджета бюджетам субъектов Российской Федерации на </w:t>
      </w:r>
      <w:proofErr w:type="spellStart"/>
      <w:r w:rsidR="001B1D34" w:rsidRPr="0070419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1B1D34" w:rsidRPr="00704191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 на предоставление социальных выплат молодым семьям на приобретение (строительство) жилья, утвержденными постановлением Правительства Российской Федерации от 17 декабря 2010 года № 1050 (далее - Правила),</w:t>
      </w:r>
      <w:r w:rsidR="001B1D34" w:rsidRPr="007041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D34" w:rsidRPr="00704191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22 апреля</w:t>
      </w:r>
      <w:proofErr w:type="gramEnd"/>
      <w:r w:rsidR="001B1D34" w:rsidRPr="007041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1D34" w:rsidRPr="00704191">
        <w:rPr>
          <w:rFonts w:ascii="Times New Roman" w:hAnsi="Times New Roman"/>
          <w:sz w:val="24"/>
          <w:szCs w:val="24"/>
        </w:rPr>
        <w:t>2014 года № 652-р «О распределении в 2014 году субсидий из федерального бюджета бюджетам субъектов Российской Федерации на реализацию подпрограммы «Обеспечение жильем молодых семей» в соответствии с федеральной целевой программой «Жилище» на 2011-2015 годы», Законом Ханты-Мансийского автономного округа – Югры от 7 ноября 2013 года № 107-оз «О бюджете Ханты-Мансийского автономного округа – Югры на 2014 год и плановый период 2015 и 2016 годов</w:t>
      </w:r>
      <w:proofErr w:type="gramEnd"/>
      <w:r w:rsidR="001B1D34" w:rsidRPr="00704191">
        <w:rPr>
          <w:rFonts w:ascii="Times New Roman" w:hAnsi="Times New Roman"/>
          <w:sz w:val="24"/>
          <w:szCs w:val="24"/>
        </w:rPr>
        <w:t xml:space="preserve">», Порядком реализации </w:t>
      </w:r>
      <w:hyperlink w:anchor="Par4935" w:history="1">
        <w:r w:rsidR="001B1D34" w:rsidRPr="00704191">
          <w:rPr>
            <w:rFonts w:ascii="Times New Roman" w:hAnsi="Times New Roman"/>
            <w:sz w:val="24"/>
            <w:szCs w:val="24"/>
          </w:rPr>
          <w:t>мероприятия</w:t>
        </w:r>
      </w:hyperlink>
      <w:r w:rsidR="001B1D34" w:rsidRPr="00704191">
        <w:rPr>
          <w:rFonts w:ascii="Times New Roman" w:hAnsi="Times New Roman"/>
          <w:sz w:val="24"/>
          <w:szCs w:val="24"/>
        </w:rPr>
        <w:t xml:space="preserve"> «Улучшение жилищных условий молодых семей в соответствии с федеральной целевой </w:t>
      </w:r>
      <w:hyperlink r:id="rId6" w:history="1">
        <w:r w:rsidR="001B1D34" w:rsidRPr="00704191">
          <w:rPr>
            <w:rFonts w:ascii="Times New Roman" w:hAnsi="Times New Roman"/>
            <w:sz w:val="24"/>
            <w:szCs w:val="24"/>
          </w:rPr>
          <w:t>программой</w:t>
        </w:r>
      </w:hyperlink>
      <w:r w:rsidR="001B1D34" w:rsidRPr="00704191">
        <w:rPr>
          <w:rFonts w:ascii="Times New Roman" w:hAnsi="Times New Roman"/>
          <w:sz w:val="24"/>
          <w:szCs w:val="24"/>
        </w:rPr>
        <w:t xml:space="preserve"> «Жилище», утвержденным постановлением Правительства Ханты-Мансийского автономного округа - Югры от 9 октября 2013 года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2014-2020 годах»</w:t>
      </w:r>
    </w:p>
    <w:p w:rsidR="00D64F61" w:rsidRDefault="00D64F61" w:rsidP="00234501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>- «</w:t>
      </w:r>
      <w:r w:rsidRPr="00D64F61">
        <w:rPr>
          <w:rFonts w:ascii="Times New Roman" w:hAnsi="Times New Roman" w:cs="Times New Roman"/>
          <w:spacing w:val="-5"/>
          <w:sz w:val="24"/>
          <w:szCs w:val="24"/>
        </w:rPr>
        <w:t>Обеспечение субсидией лица, приравненного по льготам к ветеранам Великой Отечественной войны</w:t>
      </w:r>
      <w:r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234501" w:rsidRPr="00390994" w:rsidRDefault="00234501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на 2014 год составил 1 917,9 тыс. рублей, из них федеральный бюджет – 1 469,0 тыс. рублей, окружной бюджет – 448,9 тыс. рублей, кассовое исполнение составило 1 917,7 тыс. рублей, из них федеральный бюджет -1 468,9 тыс. рублей, окружной бюджет – 448,8 тыс. рублей, что составляет 99,99 % исполнение мероприятия.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AD6176">
        <w:rPr>
          <w:rFonts w:ascii="Times New Roman" w:hAnsi="Times New Roman" w:cs="Times New Roman"/>
          <w:spacing w:val="-5"/>
          <w:sz w:val="24"/>
          <w:szCs w:val="24"/>
        </w:rPr>
        <w:t xml:space="preserve">С </w:t>
      </w:r>
      <w:r w:rsidR="00704191">
        <w:rPr>
          <w:rFonts w:ascii="Times New Roman" w:hAnsi="Times New Roman" w:cs="Times New Roman"/>
          <w:spacing w:val="-5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pacing w:val="-5"/>
          <w:sz w:val="24"/>
          <w:szCs w:val="24"/>
        </w:rPr>
        <w:t>реализации мероприятия «Улучшение жили</w:t>
      </w:r>
      <w:r w:rsidR="0085679E">
        <w:rPr>
          <w:rFonts w:ascii="Times New Roman" w:hAnsi="Times New Roman" w:cs="Times New Roman"/>
          <w:spacing w:val="-5"/>
          <w:sz w:val="24"/>
          <w:szCs w:val="24"/>
        </w:rPr>
        <w:t>щных условий ветеранам Великой О</w:t>
      </w:r>
      <w:r>
        <w:rPr>
          <w:rFonts w:ascii="Times New Roman" w:hAnsi="Times New Roman" w:cs="Times New Roman"/>
          <w:spacing w:val="-5"/>
          <w:sz w:val="24"/>
          <w:szCs w:val="24"/>
        </w:rPr>
        <w:t>течественной войны»</w:t>
      </w:r>
      <w:r w:rsidR="00704191"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>в соответствии с Указом Президента Российской Федерации от 7 мая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>2008 года№ 714 «Об обеспечении жильем ветеранов Великой Отечественной войны 1941-1945 годов»</w:t>
      </w:r>
      <w:r w:rsidR="006E63C5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0994">
        <w:rPr>
          <w:rFonts w:ascii="Times New Roman" w:hAnsi="Times New Roman" w:cs="Times New Roman"/>
          <w:spacing w:val="-5"/>
          <w:sz w:val="24"/>
          <w:szCs w:val="24"/>
        </w:rPr>
        <w:t>выдана одна единовременная денежная выплата в связи с приобретением жилого</w:t>
      </w:r>
      <w:r w:rsidR="00AD6176">
        <w:rPr>
          <w:rFonts w:ascii="Times New Roman" w:hAnsi="Times New Roman" w:cs="Times New Roman"/>
          <w:spacing w:val="-5"/>
          <w:sz w:val="24"/>
          <w:szCs w:val="24"/>
        </w:rPr>
        <w:t xml:space="preserve"> помещения</w:t>
      </w:r>
      <w:r w:rsidRPr="00390994">
        <w:rPr>
          <w:rFonts w:ascii="Times New Roman" w:hAnsi="Times New Roman" w:cs="Times New Roman"/>
          <w:spacing w:val="-5"/>
          <w:sz w:val="24"/>
          <w:szCs w:val="24"/>
        </w:rPr>
        <w:t>.</w:t>
      </w:r>
      <w:proofErr w:type="gramEnd"/>
    </w:p>
    <w:p w:rsidR="00234501" w:rsidRPr="00234501" w:rsidRDefault="00134E55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134E55">
        <w:rPr>
          <w:rFonts w:ascii="Times New Roman" w:hAnsi="Times New Roman" w:cs="Times New Roman"/>
          <w:sz w:val="24"/>
          <w:szCs w:val="24"/>
        </w:rPr>
        <w:t>Получение мер государственной поддержки и улучшение жилищных условий семей ветеранов боевых действий и инвалидов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820B7" w:rsidRDefault="00234501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Уточненный план на 2014 год составил 734,5 тыс. рублей – средства федерального бюджета, кассовое исполнение составило 734,5 тыс. рублей,  что составляет 100 % исполнение мероприятия. </w:t>
      </w:r>
      <w:proofErr w:type="gramStart"/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 w:rsidR="00D3736F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с порядком предоставления субсидий на приобретение жилых помещений в собственность отдельных категорий граждан  </w:t>
      </w:r>
      <w:r w:rsidR="00CA2353">
        <w:rPr>
          <w:rFonts w:ascii="Times New Roman" w:hAnsi="Times New Roman" w:cs="Times New Roman"/>
          <w:spacing w:val="-5"/>
          <w:sz w:val="24"/>
          <w:szCs w:val="24"/>
        </w:rPr>
        <w:t xml:space="preserve">подпрограммы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Ханты-Мансийскому автономному округу-Югры «Обеспечение доступным и комфортным жильем жителей Ханты-Мансийского </w:t>
      </w:r>
      <w:r w:rsidR="000268F2">
        <w:rPr>
          <w:rFonts w:ascii="Times New Roman" w:hAnsi="Times New Roman" w:cs="Times New Roman"/>
          <w:spacing w:val="-5"/>
          <w:sz w:val="24"/>
          <w:szCs w:val="24"/>
        </w:rPr>
        <w:t xml:space="preserve">автономного округа-Югры в 2014-2020 годах»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выдана одна субсидия для приобретения жилого помещения инвалиду </w:t>
      </w:r>
      <w:r w:rsidRPr="009C52D8">
        <w:rPr>
          <w:rFonts w:ascii="Times New Roman" w:hAnsi="Times New Roman" w:cs="Times New Roman"/>
          <w:spacing w:val="-5"/>
          <w:sz w:val="24"/>
          <w:szCs w:val="24"/>
          <w:lang w:val="en-US"/>
        </w:rPr>
        <w:t>III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 xml:space="preserve"> группы.</w:t>
      </w:r>
      <w:proofErr w:type="gramEnd"/>
    </w:p>
    <w:p w:rsidR="00DB073A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</w:t>
      </w:r>
      <w:r w:rsidRPr="00DB073A">
        <w:rPr>
          <w:rFonts w:ascii="Times New Roman" w:hAnsi="Times New Roman" w:cs="Times New Roman"/>
          <w:spacing w:val="-5"/>
          <w:sz w:val="24"/>
          <w:szCs w:val="24"/>
        </w:rPr>
        <w:t xml:space="preserve">Администрирование, </w:t>
      </w:r>
      <w:proofErr w:type="gramStart"/>
      <w:r w:rsidRPr="00DB073A">
        <w:rPr>
          <w:rFonts w:ascii="Times New Roman" w:hAnsi="Times New Roman" w:cs="Times New Roman"/>
          <w:spacing w:val="-5"/>
          <w:sz w:val="24"/>
          <w:szCs w:val="24"/>
        </w:rPr>
        <w:t>передаваемых</w:t>
      </w:r>
      <w:proofErr w:type="gramEnd"/>
      <w:r w:rsidRPr="00DB073A">
        <w:rPr>
          <w:rFonts w:ascii="Times New Roman" w:hAnsi="Times New Roman" w:cs="Times New Roman"/>
          <w:spacing w:val="-5"/>
          <w:sz w:val="24"/>
          <w:szCs w:val="24"/>
        </w:rPr>
        <w:t xml:space="preserve"> органам местного самоуправления отдельного государственного полномочия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B073A" w:rsidRPr="00234501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на 2014 год составил 1,4 тыс. рублей – средства федерального бюджета, кассовое исполнение составило 1,4 тыс. рублей,  что составляет 100 % исполнение мероприятия. </w:t>
      </w: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марки и конверты для муниципальных нужд.</w:t>
      </w:r>
    </w:p>
    <w:p w:rsidR="00462D6F" w:rsidRDefault="0076493A" w:rsidP="00766C5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5F">
        <w:rPr>
          <w:rFonts w:ascii="Times New Roman" w:hAnsi="Times New Roman" w:cs="Times New Roman"/>
          <w:sz w:val="24"/>
          <w:szCs w:val="24"/>
        </w:rPr>
        <w:t>- «</w:t>
      </w:r>
      <w:r w:rsidR="00766C5F" w:rsidRPr="00766C5F">
        <w:rPr>
          <w:rFonts w:ascii="Times New Roman" w:hAnsi="Times New Roman" w:cs="Times New Roman"/>
          <w:spacing w:val="-5"/>
          <w:sz w:val="24"/>
          <w:szCs w:val="24"/>
        </w:rPr>
        <w:t>Приобретение жилых помещений для предоставления гражданам, проживающим в жилых помещениях, признанных непригодными для проживания, на условиях договора социального найма, а также заключение договоров мены с собственниками жилых помещений, признан</w:t>
      </w:r>
      <w:r w:rsidR="00766C5F">
        <w:rPr>
          <w:rFonts w:ascii="Times New Roman" w:hAnsi="Times New Roman" w:cs="Times New Roman"/>
          <w:spacing w:val="-5"/>
          <w:sz w:val="24"/>
          <w:szCs w:val="24"/>
        </w:rPr>
        <w:t>ных непригодными для проживания»</w:t>
      </w:r>
      <w:r w:rsidR="00FA6A16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6E63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71797E" w:rsidRPr="00DC50B1" w:rsidRDefault="00766C5F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>Уточненный план на 2014 год составил 297 253,4 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>, из них окружной бюджет – 267 527,5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в том числе оплата приобретенного жилья по контрактам, заключенным в 2013 году </w:t>
      </w:r>
      <w:r w:rsidR="003C1ECE" w:rsidRPr="00DC50B1">
        <w:rPr>
          <w:rFonts w:ascii="Times New Roman" w:hAnsi="Times New Roman" w:cs="Times New Roman"/>
          <w:sz w:val="24"/>
          <w:szCs w:val="24"/>
        </w:rPr>
        <w:t xml:space="preserve">– </w:t>
      </w:r>
      <w:r w:rsidR="00222FD9" w:rsidRPr="00DC50B1">
        <w:rPr>
          <w:rFonts w:ascii="Times New Roman" w:hAnsi="Times New Roman" w:cs="Times New Roman"/>
          <w:sz w:val="24"/>
          <w:szCs w:val="24"/>
        </w:rPr>
        <w:t>57 541,9 тыс.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рублей, местный бюджет – </w:t>
      </w:r>
      <w:r w:rsidR="002B22E6" w:rsidRPr="00DC50B1">
        <w:rPr>
          <w:rFonts w:ascii="Times New Roman" w:hAnsi="Times New Roman" w:cs="Times New Roman"/>
          <w:sz w:val="24"/>
          <w:szCs w:val="24"/>
        </w:rPr>
        <w:t>29 725,9 тыс. рублей, кассовое исполнение составило 294 237,7 тыс. рублей, из них окружной бюджет – 264 813,9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в том числе оплата приобретенного</w:t>
      </w:r>
      <w:proofErr w:type="gramEnd"/>
      <w:r w:rsidR="00222FD9" w:rsidRPr="00DC50B1">
        <w:rPr>
          <w:rFonts w:ascii="Times New Roman" w:hAnsi="Times New Roman" w:cs="Times New Roman"/>
          <w:sz w:val="24"/>
          <w:szCs w:val="24"/>
        </w:rPr>
        <w:t xml:space="preserve"> жилья по контрактам, заключенным в 2013 году – </w:t>
      </w:r>
      <w:r w:rsidR="00BA6202" w:rsidRPr="00DC50B1">
        <w:rPr>
          <w:rFonts w:ascii="Times New Roman" w:hAnsi="Times New Roman" w:cs="Times New Roman"/>
          <w:sz w:val="24"/>
          <w:szCs w:val="24"/>
        </w:rPr>
        <w:t>57 541,7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местный бюджет </w:t>
      </w:r>
      <w:r w:rsidR="00D3736F" w:rsidRPr="00DC50B1">
        <w:rPr>
          <w:rFonts w:ascii="Times New Roman" w:hAnsi="Times New Roman" w:cs="Times New Roman"/>
          <w:sz w:val="24"/>
          <w:szCs w:val="24"/>
        </w:rPr>
        <w:t>–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29 423,8 тыс. рублей, что составляет 98,99 % исполнение мероприятия. </w:t>
      </w:r>
    </w:p>
    <w:p w:rsidR="0071797E" w:rsidRPr="005D01ED" w:rsidRDefault="0071797E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 w:rsidR="005D01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5D01ED"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>бюджету муниципального образования автономного округа для приобретения жилья</w:t>
      </w:r>
      <w:r w:rsidR="005D01ED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7 ноября 2013 года № 107-оз «О бюджете Ханты-Мансийского автономного округа – Югры на 2014 год и на</w:t>
      </w:r>
      <w:proofErr w:type="gramEnd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плановый период 2015 и 2016 годов», постановлением Правительства Ханты-Мансийского автономного округа – Югры от 9 октября 2013 года № 408-п «О </w:t>
      </w:r>
      <w:r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 w:rsidR="005D01E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A6202" w:rsidRDefault="002B22E6" w:rsidP="00462D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В 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>плановом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2014 году</w:t>
      </w:r>
      <w:r w:rsidR="005D01ED">
        <w:rPr>
          <w:rFonts w:ascii="Times New Roman" w:hAnsi="Times New Roman" w:cs="Times New Roman"/>
          <w:spacing w:val="-5"/>
          <w:sz w:val="24"/>
          <w:szCs w:val="24"/>
        </w:rPr>
        <w:t xml:space="preserve"> данное мероприятие реализовано</w:t>
      </w:r>
      <w:r w:rsidR="00BA62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п. 25 ч. 1 ст. 93 Федерального закона </w:t>
      </w:r>
      <w:r w:rsidR="001E031E">
        <w:rPr>
          <w:rFonts w:ascii="Times New Roman" w:hAnsi="Times New Roman" w:cs="Times New Roman"/>
          <w:spacing w:val="-5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заключено 12 муниципальных контрактов на приобретение 84 квартир, из них по 5 муниципальным контрактам 22 жилых помещения будут приняты в муниципальную собственность по актам</w:t>
      </w:r>
      <w:proofErr w:type="gramEnd"/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1E031E">
        <w:rPr>
          <w:rFonts w:ascii="Times New Roman" w:hAnsi="Times New Roman" w:cs="Times New Roman"/>
          <w:spacing w:val="-5"/>
          <w:sz w:val="24"/>
          <w:szCs w:val="24"/>
        </w:rPr>
        <w:t>приема-передачи в</w:t>
      </w:r>
      <w:proofErr w:type="gramEnd"/>
      <w:r w:rsidR="001E031E">
        <w:rPr>
          <w:rFonts w:ascii="Times New Roman" w:hAnsi="Times New Roman" w:cs="Times New Roman"/>
          <w:spacing w:val="-5"/>
          <w:sz w:val="24"/>
          <w:szCs w:val="24"/>
        </w:rPr>
        <w:t xml:space="preserve"> 2015 году. </w:t>
      </w:r>
      <w:r w:rsidR="00462D6F"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462D6F">
        <w:rPr>
          <w:rFonts w:ascii="Times New Roman" w:hAnsi="Times New Roman" w:cs="Times New Roman"/>
          <w:sz w:val="24"/>
          <w:szCs w:val="24"/>
        </w:rPr>
        <w:t xml:space="preserve"> 5% от стоимости муниципальных контрактов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62D6F">
        <w:rPr>
          <w:rFonts w:ascii="Times New Roman" w:hAnsi="Times New Roman" w:cs="Times New Roman"/>
          <w:sz w:val="24"/>
          <w:szCs w:val="24"/>
        </w:rPr>
        <w:t>3 015,7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462D6F">
        <w:rPr>
          <w:rFonts w:ascii="Times New Roman" w:hAnsi="Times New Roman" w:cs="Times New Roman"/>
          <w:sz w:val="24"/>
          <w:szCs w:val="24"/>
        </w:rPr>
        <w:t>2 713,6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местный бюджет – </w:t>
      </w:r>
      <w:r w:rsidR="00462D6F">
        <w:rPr>
          <w:rFonts w:ascii="Times New Roman" w:hAnsi="Times New Roman" w:cs="Times New Roman"/>
          <w:sz w:val="24"/>
          <w:szCs w:val="24"/>
        </w:rPr>
        <w:t>302,1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который будет использован в 2015 году</w:t>
      </w:r>
      <w:r w:rsidR="00462D6F"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="00462D6F" w:rsidRPr="00592177">
        <w:rPr>
          <w:rFonts w:ascii="Times New Roman" w:hAnsi="Times New Roman" w:cs="Times New Roman"/>
          <w:sz w:val="24"/>
          <w:szCs w:val="24"/>
        </w:rPr>
        <w:t>.</w:t>
      </w:r>
      <w:r w:rsidR="00BA6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A1B" w:rsidRDefault="00F81A1B" w:rsidP="00462D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E1B">
        <w:rPr>
          <w:rFonts w:ascii="Times New Roman" w:hAnsi="Times New Roman" w:cs="Times New Roman"/>
          <w:sz w:val="24"/>
          <w:szCs w:val="24"/>
        </w:rPr>
        <w:t>По имеющимся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A56">
        <w:rPr>
          <w:rFonts w:ascii="Times New Roman" w:hAnsi="Times New Roman" w:cs="Times New Roman"/>
          <w:sz w:val="24"/>
          <w:szCs w:val="24"/>
        </w:rPr>
        <w:t xml:space="preserve">на сумму 57 541,9 тыс. рублей по заключенным в 2013 году муниципальным контрактам о долевом участии в строительстве жилья, </w:t>
      </w:r>
      <w:r w:rsidR="00F311C2">
        <w:rPr>
          <w:rFonts w:ascii="Times New Roman" w:hAnsi="Times New Roman" w:cs="Times New Roman"/>
          <w:sz w:val="24"/>
          <w:szCs w:val="24"/>
        </w:rPr>
        <w:t xml:space="preserve">были </w:t>
      </w:r>
      <w:r w:rsidR="004B1A56">
        <w:rPr>
          <w:rFonts w:ascii="Times New Roman" w:hAnsi="Times New Roman" w:cs="Times New Roman"/>
          <w:sz w:val="24"/>
          <w:szCs w:val="24"/>
        </w:rPr>
        <w:t xml:space="preserve">приняты </w:t>
      </w:r>
      <w:r w:rsidR="00DE4796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69 квартир </w:t>
      </w:r>
      <w:r w:rsidR="004B1A56">
        <w:rPr>
          <w:rFonts w:ascii="Times New Roman" w:hAnsi="Times New Roman" w:cs="Times New Roman"/>
          <w:sz w:val="24"/>
          <w:szCs w:val="24"/>
        </w:rPr>
        <w:t xml:space="preserve">по актам приема-передачи </w:t>
      </w:r>
      <w:r w:rsidR="00DE4796">
        <w:rPr>
          <w:rFonts w:ascii="Times New Roman" w:hAnsi="Times New Roman" w:cs="Times New Roman"/>
          <w:sz w:val="24"/>
          <w:szCs w:val="24"/>
        </w:rPr>
        <w:t xml:space="preserve">в 2014 году. В связи </w:t>
      </w:r>
      <w:r w:rsidR="00294AF9">
        <w:rPr>
          <w:rFonts w:ascii="Times New Roman" w:hAnsi="Times New Roman" w:cs="Times New Roman"/>
          <w:sz w:val="24"/>
          <w:szCs w:val="24"/>
        </w:rPr>
        <w:t xml:space="preserve">с подписанием актов приема-передачи квартир, </w:t>
      </w:r>
      <w:r w:rsidR="00F311C2">
        <w:rPr>
          <w:rFonts w:ascii="Times New Roman" w:hAnsi="Times New Roman" w:cs="Times New Roman"/>
          <w:sz w:val="24"/>
          <w:szCs w:val="24"/>
        </w:rPr>
        <w:t xml:space="preserve">где </w:t>
      </w:r>
      <w:r w:rsidR="004A3A9B">
        <w:rPr>
          <w:rFonts w:ascii="Times New Roman" w:hAnsi="Times New Roman" w:cs="Times New Roman"/>
          <w:sz w:val="24"/>
          <w:szCs w:val="24"/>
        </w:rPr>
        <w:t xml:space="preserve">цена контрактов </w:t>
      </w:r>
      <w:r w:rsidR="00294AF9">
        <w:rPr>
          <w:rFonts w:ascii="Times New Roman" w:hAnsi="Times New Roman" w:cs="Times New Roman"/>
          <w:sz w:val="24"/>
          <w:szCs w:val="24"/>
        </w:rPr>
        <w:t>снизилась на сумму в размере 8 736,1 тыс. рублей, из них федеральный бюджет – 7 862,5</w:t>
      </w:r>
      <w:r w:rsidR="004A3A9B">
        <w:rPr>
          <w:rFonts w:ascii="Times New Roman" w:hAnsi="Times New Roman" w:cs="Times New Roman"/>
          <w:sz w:val="24"/>
          <w:szCs w:val="24"/>
        </w:rPr>
        <w:t xml:space="preserve"> тыс. рублей, из-за уменьшения общей площади квартир при завершении строительства.</w:t>
      </w:r>
    </w:p>
    <w:p w:rsidR="002820B7" w:rsidRPr="0066020A" w:rsidRDefault="001E031E" w:rsidP="00D373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20A">
        <w:rPr>
          <w:rFonts w:ascii="Times New Roman" w:hAnsi="Times New Roman" w:cs="Times New Roman"/>
          <w:sz w:val="24"/>
          <w:szCs w:val="24"/>
        </w:rPr>
        <w:lastRenderedPageBreak/>
        <w:t>В рамках данно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0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66020A">
        <w:rPr>
          <w:rFonts w:ascii="Times New Roman" w:hAnsi="Times New Roman" w:cs="Times New Roman"/>
          <w:sz w:val="24"/>
          <w:szCs w:val="24"/>
        </w:rPr>
        <w:t xml:space="preserve"> на сэкономленные денежные средства 2013 года по согласованию с Департаментом финансов автономного округа об использовании в 2014 году неиспользованных остатков средств субсидии 2013 года из бюджета автономного округа на приобретение жилья было заключено 3 муниципальных контракта на приобретение трех квартир на сумму 8</w:t>
      </w:r>
      <w:r w:rsidR="00457E1B">
        <w:rPr>
          <w:rFonts w:ascii="Times New Roman" w:hAnsi="Times New Roman" w:cs="Times New Roman"/>
          <w:sz w:val="24"/>
          <w:szCs w:val="24"/>
        </w:rPr>
        <w:t> </w:t>
      </w:r>
      <w:r w:rsidRPr="0066020A">
        <w:rPr>
          <w:rFonts w:ascii="Times New Roman" w:hAnsi="Times New Roman" w:cs="Times New Roman"/>
          <w:sz w:val="24"/>
          <w:szCs w:val="24"/>
        </w:rPr>
        <w:t>735</w:t>
      </w:r>
      <w:r w:rsidR="00457E1B">
        <w:rPr>
          <w:rFonts w:ascii="Times New Roman" w:hAnsi="Times New Roman" w:cs="Times New Roman"/>
          <w:sz w:val="24"/>
          <w:szCs w:val="24"/>
        </w:rPr>
        <w:t>,</w:t>
      </w:r>
      <w:r w:rsidRPr="0066020A">
        <w:rPr>
          <w:rFonts w:ascii="Times New Roman" w:hAnsi="Times New Roman" w:cs="Times New Roman"/>
          <w:sz w:val="24"/>
          <w:szCs w:val="24"/>
        </w:rPr>
        <w:t> </w:t>
      </w:r>
      <w:r w:rsidR="00457E1B">
        <w:rPr>
          <w:rFonts w:ascii="Times New Roman" w:hAnsi="Times New Roman" w:cs="Times New Roman"/>
          <w:sz w:val="24"/>
          <w:szCs w:val="24"/>
        </w:rPr>
        <w:t>9 тыс.</w:t>
      </w:r>
      <w:r w:rsidRPr="0066020A">
        <w:rPr>
          <w:rFonts w:ascii="Times New Roman" w:hAnsi="Times New Roman" w:cs="Times New Roman"/>
          <w:sz w:val="24"/>
          <w:szCs w:val="24"/>
        </w:rPr>
        <w:t xml:space="preserve"> рублей, из них 7</w:t>
      </w:r>
      <w:r w:rsidR="00457E1B">
        <w:rPr>
          <w:rFonts w:ascii="Times New Roman" w:hAnsi="Times New Roman" w:cs="Times New Roman"/>
          <w:sz w:val="24"/>
          <w:szCs w:val="24"/>
        </w:rPr>
        <w:t> </w:t>
      </w:r>
      <w:r w:rsidRPr="0066020A">
        <w:rPr>
          <w:rFonts w:ascii="Times New Roman" w:hAnsi="Times New Roman" w:cs="Times New Roman"/>
          <w:sz w:val="24"/>
          <w:szCs w:val="24"/>
        </w:rPr>
        <w:t>862</w:t>
      </w:r>
      <w:r w:rsidR="00457E1B">
        <w:rPr>
          <w:rFonts w:ascii="Times New Roman" w:hAnsi="Times New Roman" w:cs="Times New Roman"/>
          <w:sz w:val="24"/>
          <w:szCs w:val="24"/>
        </w:rPr>
        <w:t>,3 тыс.</w:t>
      </w:r>
      <w:r w:rsidRPr="0066020A">
        <w:rPr>
          <w:rFonts w:ascii="Times New Roman" w:hAnsi="Times New Roman" w:cs="Times New Roman"/>
          <w:sz w:val="24"/>
          <w:szCs w:val="24"/>
        </w:rPr>
        <w:t xml:space="preserve"> рублей (окружной бюджет) и</w:t>
      </w:r>
      <w:proofErr w:type="gramEnd"/>
      <w:r w:rsidRPr="0066020A">
        <w:rPr>
          <w:rFonts w:ascii="Times New Roman" w:hAnsi="Times New Roman" w:cs="Times New Roman"/>
          <w:sz w:val="24"/>
          <w:szCs w:val="24"/>
        </w:rPr>
        <w:t xml:space="preserve"> 873</w:t>
      </w:r>
      <w:r w:rsidR="00457E1B">
        <w:rPr>
          <w:rFonts w:ascii="Times New Roman" w:hAnsi="Times New Roman" w:cs="Times New Roman"/>
          <w:sz w:val="24"/>
          <w:szCs w:val="24"/>
        </w:rPr>
        <w:t>,6 тыс.</w:t>
      </w:r>
      <w:r w:rsidRPr="0066020A">
        <w:rPr>
          <w:rFonts w:ascii="Times New Roman" w:hAnsi="Times New Roman" w:cs="Times New Roman"/>
          <w:sz w:val="24"/>
          <w:szCs w:val="24"/>
        </w:rPr>
        <w:t xml:space="preserve"> рублей. По окружному и местному бюджету по использованию денежных средств 2013 года исполнение в 2014 году составляет – 100%.</w:t>
      </w:r>
    </w:p>
    <w:p w:rsidR="00462D6F" w:rsidRDefault="001E031E" w:rsidP="007419C3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419C3" w:rsidRPr="007419C3">
        <w:rPr>
          <w:rFonts w:ascii="Times New Roman" w:hAnsi="Times New Roman" w:cs="Times New Roman"/>
          <w:spacing w:val="-5"/>
          <w:sz w:val="24"/>
          <w:szCs w:val="24"/>
        </w:rPr>
        <w:t>«Приобретение жилых помещений для обеспечения жильем граждан, состоящих на учете в качестве нуждающихся в жилых помещениях»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5D01ED" w:rsidRDefault="007419C3" w:rsidP="00D3736F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на 2014 год составил 159 250,0 тыс. рублей, из них окружной бюджет – 143 325,0 тыс. рублей, местный бюджет – 15925,0 тыс. рублей, </w:t>
      </w:r>
      <w:r w:rsidR="003C1ECE">
        <w:rPr>
          <w:rFonts w:ascii="Times New Roman" w:hAnsi="Times New Roman" w:cs="Times New Roman"/>
          <w:sz w:val="24"/>
          <w:szCs w:val="24"/>
        </w:rPr>
        <w:t>в том числе оплата приобретенного жилья по контрактам, заключенным в 2013 году – 19 925,6 тыс. рублей</w:t>
      </w:r>
      <w:r w:rsidR="003C1ECE">
        <w:rPr>
          <w:rFonts w:ascii="Times New Roman" w:hAnsi="Times New Roman" w:cs="Times New Roman"/>
          <w:spacing w:val="-5"/>
          <w:sz w:val="24"/>
          <w:szCs w:val="24"/>
        </w:rPr>
        <w:t xml:space="preserve"> местный бюджет – 29 725,9 тыс. рублей</w:t>
      </w:r>
      <w:r w:rsidR="00E20CE8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3C1E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кассовое исполнение составило 157 756,1 тыс. рублей, из них окружной бюджет – 141 980,5 тыс. рублей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E20CE8" w:rsidRPr="00E20CE8">
        <w:rPr>
          <w:rFonts w:ascii="Times New Roman" w:hAnsi="Times New Roman" w:cs="Times New Roman"/>
          <w:sz w:val="24"/>
          <w:szCs w:val="24"/>
        </w:rPr>
        <w:t xml:space="preserve"> </w:t>
      </w:r>
      <w:r w:rsidR="00E20CE8">
        <w:rPr>
          <w:rFonts w:ascii="Times New Roman" w:hAnsi="Times New Roman" w:cs="Times New Roman"/>
          <w:sz w:val="24"/>
          <w:szCs w:val="24"/>
        </w:rPr>
        <w:t>в том числе оплата приобретенного жилья по контрактам, заключенным в 2013 году – 19 925,6 тыс. рублей,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местный бюджет – 15 775,6 тыс. рублей, что составляет 99,1 % исполнение мероприятия. </w:t>
      </w:r>
    </w:p>
    <w:p w:rsidR="005D01ED" w:rsidRPr="005D01ED" w:rsidRDefault="005D01ED" w:rsidP="005D01ED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7 ноября 2013 года № 107-оз «О бюджете Ханты-Мансийского автономного округа – Югры на 2014 год и на</w:t>
      </w:r>
      <w:proofErr w:type="gramEnd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плановый период 2015 и 2016 годов», постановлением Правительства Ханты-Мансийского автономного округа – Югры от 9 октября 2013 года № 408-п «О </w:t>
      </w:r>
      <w:r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20B7" w:rsidRDefault="005D01ED" w:rsidP="00D373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В плановом  2014 году данное мероприятие реализовано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в соответствии с п. 25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E080D">
        <w:rPr>
          <w:rFonts w:ascii="Times New Roman" w:hAnsi="Times New Roman" w:cs="Times New Roman"/>
          <w:spacing w:val="-5"/>
          <w:sz w:val="24"/>
          <w:szCs w:val="24"/>
        </w:rPr>
        <w:t xml:space="preserve"> заключено 8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</w:t>
      </w:r>
      <w:r w:rsidR="00EE080D">
        <w:rPr>
          <w:rFonts w:ascii="Times New Roman" w:hAnsi="Times New Roman" w:cs="Times New Roman"/>
          <w:spacing w:val="-5"/>
          <w:sz w:val="24"/>
          <w:szCs w:val="24"/>
        </w:rPr>
        <w:t>ых контрактов на приобретение 50 квартир, из них по 3 муниципальным контрактам 13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</w:t>
      </w:r>
      <w:r w:rsidR="00EE080D">
        <w:rPr>
          <w:rFonts w:ascii="Times New Roman" w:hAnsi="Times New Roman" w:cs="Times New Roman"/>
          <w:spacing w:val="-5"/>
          <w:sz w:val="24"/>
          <w:szCs w:val="24"/>
        </w:rPr>
        <w:t>й</w:t>
      </w:r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будут приняты в муниципальную собственность по актам</w:t>
      </w:r>
      <w:proofErr w:type="gramEnd"/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7419C3">
        <w:rPr>
          <w:rFonts w:ascii="Times New Roman" w:hAnsi="Times New Roman" w:cs="Times New Roman"/>
          <w:spacing w:val="-5"/>
          <w:sz w:val="24"/>
          <w:szCs w:val="24"/>
        </w:rPr>
        <w:t>приема-передачи в 2015</w:t>
      </w:r>
      <w:proofErr w:type="gramEnd"/>
      <w:r w:rsidR="007419C3">
        <w:rPr>
          <w:rFonts w:ascii="Times New Roman" w:hAnsi="Times New Roman" w:cs="Times New Roman"/>
          <w:spacing w:val="-5"/>
          <w:sz w:val="24"/>
          <w:szCs w:val="24"/>
        </w:rPr>
        <w:t xml:space="preserve"> году. </w:t>
      </w:r>
      <w:r w:rsidR="00592177"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9A3755">
        <w:rPr>
          <w:rFonts w:ascii="Times New Roman" w:hAnsi="Times New Roman" w:cs="Times New Roman"/>
          <w:sz w:val="24"/>
          <w:szCs w:val="24"/>
        </w:rPr>
        <w:t xml:space="preserve"> 5% от стоимости муниципальных контрактов</w:t>
      </w:r>
      <w:r w:rsidR="00592177" w:rsidRPr="0059217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A3755">
        <w:rPr>
          <w:rFonts w:ascii="Times New Roman" w:hAnsi="Times New Roman" w:cs="Times New Roman"/>
          <w:sz w:val="24"/>
          <w:szCs w:val="24"/>
        </w:rPr>
        <w:t>1 493,9</w:t>
      </w:r>
      <w:r w:rsidR="00592177" w:rsidRPr="00592177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9A3755">
        <w:rPr>
          <w:rFonts w:ascii="Times New Roman" w:hAnsi="Times New Roman" w:cs="Times New Roman"/>
          <w:sz w:val="24"/>
          <w:szCs w:val="24"/>
        </w:rPr>
        <w:t>1344,5</w:t>
      </w:r>
      <w:r w:rsidR="00592177" w:rsidRPr="00592177">
        <w:rPr>
          <w:rFonts w:ascii="Times New Roman" w:hAnsi="Times New Roman" w:cs="Times New Roman"/>
          <w:sz w:val="24"/>
          <w:szCs w:val="24"/>
        </w:rPr>
        <w:t xml:space="preserve"> тыс. рублей, местный бюджет – </w:t>
      </w:r>
      <w:r w:rsidR="009A3755">
        <w:rPr>
          <w:rFonts w:ascii="Times New Roman" w:hAnsi="Times New Roman" w:cs="Times New Roman"/>
          <w:sz w:val="24"/>
          <w:szCs w:val="24"/>
        </w:rPr>
        <w:t>149,4</w:t>
      </w:r>
      <w:r w:rsidR="00592177" w:rsidRPr="00592177">
        <w:rPr>
          <w:rFonts w:ascii="Times New Roman" w:hAnsi="Times New Roman" w:cs="Times New Roman"/>
          <w:sz w:val="24"/>
          <w:szCs w:val="24"/>
        </w:rPr>
        <w:t xml:space="preserve"> тыс. рублей, который будет использован в 2015 году</w:t>
      </w:r>
      <w:r w:rsidR="009A3755"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="00592177" w:rsidRPr="00592177">
        <w:rPr>
          <w:rFonts w:ascii="Times New Roman" w:hAnsi="Times New Roman" w:cs="Times New Roman"/>
          <w:sz w:val="24"/>
          <w:szCs w:val="24"/>
        </w:rPr>
        <w:t>.</w:t>
      </w:r>
    </w:p>
    <w:p w:rsidR="00457E1B" w:rsidRPr="002D7967" w:rsidRDefault="00457E1B" w:rsidP="002D796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E1B">
        <w:rPr>
          <w:rFonts w:ascii="Times New Roman" w:hAnsi="Times New Roman" w:cs="Times New Roman"/>
          <w:sz w:val="24"/>
          <w:szCs w:val="24"/>
        </w:rPr>
        <w:t>По имеющимся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CE8">
        <w:rPr>
          <w:rFonts w:ascii="Times New Roman" w:hAnsi="Times New Roman" w:cs="Times New Roman"/>
          <w:sz w:val="24"/>
          <w:szCs w:val="24"/>
        </w:rPr>
        <w:t xml:space="preserve">денежных средств федерального бюджета </w:t>
      </w:r>
      <w:r w:rsidR="003C1ECE">
        <w:rPr>
          <w:rFonts w:ascii="Times New Roman" w:hAnsi="Times New Roman" w:cs="Times New Roman"/>
          <w:sz w:val="24"/>
          <w:szCs w:val="24"/>
        </w:rPr>
        <w:t>на сумму 19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C1ECE">
        <w:rPr>
          <w:rFonts w:ascii="Times New Roman" w:hAnsi="Times New Roman" w:cs="Times New Roman"/>
          <w:sz w:val="24"/>
          <w:szCs w:val="24"/>
        </w:rPr>
        <w:t>925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1E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по заключенным в 2013 году муниципальным контрактам о долевом участии в строительстве жилья,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</w:t>
      </w:r>
      <w:r w:rsidR="003C1EC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квартир по актам приема-передачи в 2014 году. </w:t>
      </w:r>
    </w:p>
    <w:p w:rsidR="00462D6F" w:rsidRDefault="00651E93" w:rsidP="00462D6F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  <w:t xml:space="preserve">- </w:t>
      </w:r>
      <w:r w:rsidRPr="00651E93">
        <w:rPr>
          <w:rFonts w:ascii="Times New Roman" w:hAnsi="Times New Roman" w:cs="Times New Roman"/>
          <w:spacing w:val="-5"/>
          <w:sz w:val="24"/>
          <w:szCs w:val="24"/>
        </w:rPr>
        <w:t>«Приобретение жилых помещений для обеспечения жильем высококвалифицированных специалистов бюджетной сферы»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:rsidR="005D01ED" w:rsidRDefault="00651E93" w:rsidP="00340D70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на 2014 год составил 83 762,4 тыс. рублей, из них окружной бюджет – 75 386,2 тыс. рублей, местный бюджет – 8 376,2 тыс. рублей, кассовое исполнение составило 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82 642,0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из них окружной бюджет – 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74377,8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местный бюджет – 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8 264,2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что составляет 9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7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% исполнение мероприятия. </w:t>
      </w:r>
      <w:proofErr w:type="gramEnd"/>
    </w:p>
    <w:p w:rsidR="003309B1" w:rsidRPr="003309B1" w:rsidRDefault="003309B1" w:rsidP="003309B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7 ноября 2013 года № 107-оз «О бюджете Ханты-Мансийского автономного </w:t>
      </w:r>
      <w:r w:rsidRPr="00DC50B1">
        <w:rPr>
          <w:rFonts w:ascii="Times New Roman" w:hAnsi="Times New Roman" w:cs="Times New Roman"/>
          <w:bCs/>
          <w:sz w:val="24"/>
          <w:szCs w:val="24"/>
        </w:rPr>
        <w:lastRenderedPageBreak/>
        <w:t>округа – Югры на 2014 год и на</w:t>
      </w:r>
      <w:proofErr w:type="gramEnd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C50B1">
        <w:rPr>
          <w:rFonts w:ascii="Times New Roman" w:hAnsi="Times New Roman" w:cs="Times New Roman"/>
          <w:bCs/>
          <w:sz w:val="24"/>
          <w:szCs w:val="24"/>
        </w:rPr>
        <w:t xml:space="preserve">плановый период 2015 и 2016 годов», постановлением Правительства Ханты-Мансийского автономного округа – Югры от 9 октября 2013 года № 408-п «О </w:t>
      </w:r>
      <w:r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20B7" w:rsidRDefault="005D01ED" w:rsidP="00340D70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В плановом  2014 году данное мероприятие реализовано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в соответствии с п. 25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 xml:space="preserve"> заключено 7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ых контрактов на приобретение 31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квартир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ы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, из них по 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1 муниципально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у контракту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1</w:t>
      </w:r>
      <w:r w:rsidR="002820B7">
        <w:rPr>
          <w:rFonts w:ascii="Times New Roman" w:hAnsi="Times New Roman" w:cs="Times New Roman"/>
          <w:spacing w:val="-5"/>
          <w:sz w:val="24"/>
          <w:szCs w:val="24"/>
        </w:rPr>
        <w:t>0</w:t>
      </w:r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помещений будут приняты в муниципальную собственность по актам</w:t>
      </w:r>
      <w:proofErr w:type="gramEnd"/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651E93">
        <w:rPr>
          <w:rFonts w:ascii="Times New Roman" w:hAnsi="Times New Roman" w:cs="Times New Roman"/>
          <w:spacing w:val="-5"/>
          <w:sz w:val="24"/>
          <w:szCs w:val="24"/>
        </w:rPr>
        <w:t>приема-передачи в 2015</w:t>
      </w:r>
      <w:proofErr w:type="gramEnd"/>
      <w:r w:rsidR="00651E93">
        <w:rPr>
          <w:rFonts w:ascii="Times New Roman" w:hAnsi="Times New Roman" w:cs="Times New Roman"/>
          <w:spacing w:val="-5"/>
          <w:sz w:val="24"/>
          <w:szCs w:val="24"/>
        </w:rPr>
        <w:t xml:space="preserve"> году.</w:t>
      </w:r>
      <w:r w:rsidR="00462D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62D6F" w:rsidRPr="00592177">
        <w:rPr>
          <w:rFonts w:ascii="Times New Roman" w:hAnsi="Times New Roman" w:cs="Times New Roman"/>
          <w:sz w:val="24"/>
          <w:szCs w:val="24"/>
        </w:rPr>
        <w:t>Остаток денежных средств</w:t>
      </w:r>
      <w:r w:rsidR="00462D6F">
        <w:rPr>
          <w:rFonts w:ascii="Times New Roman" w:hAnsi="Times New Roman" w:cs="Times New Roman"/>
          <w:sz w:val="24"/>
          <w:szCs w:val="24"/>
        </w:rPr>
        <w:t xml:space="preserve"> 5% от стоимости муниципальных контрактов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62D6F">
        <w:rPr>
          <w:rFonts w:ascii="Times New Roman" w:hAnsi="Times New Roman" w:cs="Times New Roman"/>
          <w:sz w:val="24"/>
          <w:szCs w:val="24"/>
        </w:rPr>
        <w:t>1120,4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462D6F">
        <w:rPr>
          <w:rFonts w:ascii="Times New Roman" w:hAnsi="Times New Roman" w:cs="Times New Roman"/>
          <w:sz w:val="24"/>
          <w:szCs w:val="24"/>
        </w:rPr>
        <w:t>1 008,4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местный бюджет – </w:t>
      </w:r>
      <w:r w:rsidR="00462D6F">
        <w:rPr>
          <w:rFonts w:ascii="Times New Roman" w:hAnsi="Times New Roman" w:cs="Times New Roman"/>
          <w:sz w:val="24"/>
          <w:szCs w:val="24"/>
        </w:rPr>
        <w:t>112,0</w:t>
      </w:r>
      <w:r w:rsidR="00462D6F" w:rsidRPr="00592177">
        <w:rPr>
          <w:rFonts w:ascii="Times New Roman" w:hAnsi="Times New Roman" w:cs="Times New Roman"/>
          <w:sz w:val="24"/>
          <w:szCs w:val="24"/>
        </w:rPr>
        <w:t xml:space="preserve"> тыс. рублей, который будет использован в 2015 году</w:t>
      </w:r>
      <w:r w:rsidR="00462D6F">
        <w:rPr>
          <w:rFonts w:ascii="Times New Roman" w:hAnsi="Times New Roman" w:cs="Times New Roman"/>
          <w:sz w:val="24"/>
          <w:szCs w:val="24"/>
        </w:rPr>
        <w:t xml:space="preserve"> после подписания актов по приемке квартир в муниципальную собственность</w:t>
      </w:r>
      <w:r w:rsidR="00462D6F" w:rsidRPr="00592177">
        <w:rPr>
          <w:rFonts w:ascii="Times New Roman" w:hAnsi="Times New Roman" w:cs="Times New Roman"/>
          <w:sz w:val="24"/>
          <w:szCs w:val="24"/>
        </w:rPr>
        <w:t>.</w:t>
      </w:r>
    </w:p>
    <w:p w:rsidR="0066020A" w:rsidRDefault="002820B7" w:rsidP="002820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 «Приобретение жилого помещения для отнесения в разряд маневренного жилого фонда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309B1" w:rsidRDefault="00462D6F" w:rsidP="002820B7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на 2014 год составил 3 307,6 тыс. рублей, из них окружной бюджет – 2 976,8 тыс. рублей, местный бюджет – 330,8 тыс. рублей, кассовое исполнение составило 3 307,6,0 тыс. рублей, из них окружной бюджет – 2 976,8 тыс. рублей, местный бюджет – 330,8 тыс. рублей, что составляет 100 % исполнение мероприятия. </w:t>
      </w:r>
      <w:proofErr w:type="gramEnd"/>
    </w:p>
    <w:p w:rsidR="003309B1" w:rsidRPr="003309B1" w:rsidRDefault="003309B1" w:rsidP="003309B1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0B1">
        <w:rPr>
          <w:rFonts w:ascii="Times New Roman" w:hAnsi="Times New Roman" w:cs="Times New Roman"/>
          <w:bCs/>
          <w:sz w:val="24"/>
          <w:szCs w:val="24"/>
        </w:rPr>
        <w:t>В целях осуществления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 xml:space="preserve">заключено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bCs/>
          <w:sz w:val="24"/>
          <w:szCs w:val="24"/>
        </w:rPr>
        <w:t>о предоставлении субсидии из бюджета автономного округа бюджету муниципального образования автономного округа для приобретения жилья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B1">
        <w:rPr>
          <w:rFonts w:ascii="Times New Roman" w:hAnsi="Times New Roman" w:cs="Times New Roman"/>
          <w:sz w:val="24"/>
          <w:szCs w:val="24"/>
        </w:rPr>
        <w:t>между администрацией города Югорска и Департаментом строительства Ханты-Мансийского автономного округа-Югры</w:t>
      </w:r>
      <w:r w:rsidRPr="00DC50B1">
        <w:rPr>
          <w:rFonts w:ascii="Times New Roman" w:hAnsi="Times New Roman" w:cs="Times New Roman"/>
          <w:bCs/>
          <w:sz w:val="24"/>
          <w:szCs w:val="24"/>
        </w:rPr>
        <w:t xml:space="preserve"> в соответствии с Бюджетным кодексом Российской Федерации, Законом Ханты-Мансийского автономного округа – Югры от 7 ноября 2013 года № 107-оз «О бюджете Ханты-Мансийского автономного округа – Югры на 2014 год и на плановый период 2015 и 2016 годов», постановлением Правительства Ханты-Мансийского автономного округа – Югры от 9 октября 2013 года № 408-п «О </w:t>
      </w:r>
      <w:r w:rsidRPr="00DC50B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w:anchor="Par45" w:history="1">
        <w:r w:rsidRPr="00DC50B1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DC50B1">
        <w:rPr>
          <w:rFonts w:ascii="Times New Roman" w:hAnsi="Times New Roman" w:cs="Times New Roman"/>
          <w:sz w:val="24"/>
          <w:szCs w:val="24"/>
        </w:rPr>
        <w:t xml:space="preserve">е Ханты-Мансийского автономного округа – Югры </w:t>
      </w:r>
      <w:r w:rsidRPr="00DC50B1">
        <w:rPr>
          <w:rFonts w:ascii="Times New Roman" w:hAnsi="Times New Roman" w:cs="Times New Roman"/>
          <w:bCs/>
          <w:sz w:val="24"/>
          <w:szCs w:val="24"/>
        </w:rPr>
        <w:t>«Обеспечение доступным и комфортным жильем жителей Ханты-Мансийского автономного округа – Югры в 2014-2020 годах»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462D6F" w:rsidRPr="002820B7" w:rsidRDefault="003309B1" w:rsidP="002820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 плановом  2014 году данное мероприятие реализовано </w:t>
      </w:r>
      <w:r w:rsidR="00462D6F">
        <w:rPr>
          <w:rFonts w:ascii="Times New Roman" w:hAnsi="Times New Roman" w:cs="Times New Roman"/>
          <w:spacing w:val="-5"/>
          <w:sz w:val="24"/>
          <w:szCs w:val="24"/>
        </w:rPr>
        <w:t>в соответствии с п. 25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заключен 1 муниципальный контракт на приобретение 1 квартиры.</w:t>
      </w:r>
    </w:p>
    <w:p w:rsidR="00650EF3" w:rsidRPr="0066020A" w:rsidRDefault="00650EF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25B0D" w:rsidRPr="0066020A" w:rsidRDefault="00A25B0D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0EF3" w:rsidRPr="0066020A" w:rsidRDefault="00650EF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0EF3" w:rsidRPr="0066020A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A25B0D" w:rsidRPr="0066020A">
        <w:rPr>
          <w:rFonts w:ascii="Times New Roman" w:hAnsi="Times New Roman" w:cs="Times New Roman"/>
          <w:sz w:val="24"/>
          <w:szCs w:val="24"/>
        </w:rPr>
        <w:t>ики</w:t>
      </w:r>
      <w:r w:rsidR="00A25B0D" w:rsidRPr="0066020A">
        <w:rPr>
          <w:rFonts w:ascii="Times New Roman" w:hAnsi="Times New Roman" w:cs="Times New Roman"/>
          <w:sz w:val="24"/>
          <w:szCs w:val="24"/>
        </w:rPr>
        <w:tab/>
      </w:r>
      <w:r w:rsidR="00A25B0D" w:rsidRPr="0066020A">
        <w:rPr>
          <w:rFonts w:ascii="Times New Roman" w:hAnsi="Times New Roman" w:cs="Times New Roman"/>
          <w:sz w:val="24"/>
          <w:szCs w:val="24"/>
        </w:rPr>
        <w:tab/>
      </w:r>
      <w:r w:rsidR="00A25B0D" w:rsidRPr="0066020A">
        <w:rPr>
          <w:rFonts w:ascii="Times New Roman" w:hAnsi="Times New Roman" w:cs="Times New Roman"/>
          <w:sz w:val="24"/>
          <w:szCs w:val="24"/>
        </w:rPr>
        <w:tab/>
      </w:r>
      <w:r w:rsidR="00A25B0D" w:rsidRPr="0066020A">
        <w:rPr>
          <w:rFonts w:ascii="Times New Roman" w:hAnsi="Times New Roman" w:cs="Times New Roman"/>
          <w:sz w:val="24"/>
          <w:szCs w:val="24"/>
        </w:rPr>
        <w:tab/>
      </w:r>
      <w:r w:rsidR="00A25B0D" w:rsidRPr="0066020A">
        <w:rPr>
          <w:rFonts w:ascii="Times New Roman" w:hAnsi="Times New Roman" w:cs="Times New Roman"/>
          <w:sz w:val="24"/>
          <w:szCs w:val="24"/>
        </w:rPr>
        <w:tab/>
        <w:t xml:space="preserve">      Е.И. Павлова</w:t>
      </w:r>
    </w:p>
    <w:p w:rsidR="00650EF3" w:rsidRPr="0066020A" w:rsidRDefault="00650EF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0EF3" w:rsidRPr="0066020A" w:rsidRDefault="00650EF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74A7" w:rsidRDefault="006174A7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60C2B" w:rsidRDefault="00360C2B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5423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FA6A16" w:rsidRP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>Заместитель начальника УЖП</w:t>
      </w:r>
    </w:p>
    <w:p w:rsidR="00D65423" w:rsidRPr="00FA6A16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sectPr w:rsidR="00D65423" w:rsidRPr="00FA6A16" w:rsidSect="008E25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172D0"/>
    <w:rsid w:val="000268F2"/>
    <w:rsid w:val="00041D57"/>
    <w:rsid w:val="000457CE"/>
    <w:rsid w:val="0008434D"/>
    <w:rsid w:val="00092B0E"/>
    <w:rsid w:val="001020F6"/>
    <w:rsid w:val="00113A96"/>
    <w:rsid w:val="00134E55"/>
    <w:rsid w:val="001535C2"/>
    <w:rsid w:val="00186424"/>
    <w:rsid w:val="0019524B"/>
    <w:rsid w:val="001B1D05"/>
    <w:rsid w:val="001B1D34"/>
    <w:rsid w:val="001D4235"/>
    <w:rsid w:val="001E031E"/>
    <w:rsid w:val="001E0538"/>
    <w:rsid w:val="00222FD9"/>
    <w:rsid w:val="002319F5"/>
    <w:rsid w:val="00234501"/>
    <w:rsid w:val="00267523"/>
    <w:rsid w:val="00273CD0"/>
    <w:rsid w:val="002820B7"/>
    <w:rsid w:val="00294AF9"/>
    <w:rsid w:val="002B018E"/>
    <w:rsid w:val="002B22E6"/>
    <w:rsid w:val="002B33D1"/>
    <w:rsid w:val="002B6048"/>
    <w:rsid w:val="002D4DC0"/>
    <w:rsid w:val="002D7967"/>
    <w:rsid w:val="0032570B"/>
    <w:rsid w:val="003309B1"/>
    <w:rsid w:val="00340D70"/>
    <w:rsid w:val="00345B19"/>
    <w:rsid w:val="00350840"/>
    <w:rsid w:val="00360C2B"/>
    <w:rsid w:val="00390994"/>
    <w:rsid w:val="003934EE"/>
    <w:rsid w:val="00394BC3"/>
    <w:rsid w:val="003A3FB9"/>
    <w:rsid w:val="003A721B"/>
    <w:rsid w:val="003A7E32"/>
    <w:rsid w:val="003B0696"/>
    <w:rsid w:val="003B1089"/>
    <w:rsid w:val="003B704B"/>
    <w:rsid w:val="003C1ECE"/>
    <w:rsid w:val="003E0B11"/>
    <w:rsid w:val="00404152"/>
    <w:rsid w:val="00416603"/>
    <w:rsid w:val="00434863"/>
    <w:rsid w:val="00446A5D"/>
    <w:rsid w:val="00446B29"/>
    <w:rsid w:val="00457E1B"/>
    <w:rsid w:val="00462D6F"/>
    <w:rsid w:val="00467017"/>
    <w:rsid w:val="00467915"/>
    <w:rsid w:val="004767D5"/>
    <w:rsid w:val="0047750D"/>
    <w:rsid w:val="0048743F"/>
    <w:rsid w:val="00490992"/>
    <w:rsid w:val="004A3A9B"/>
    <w:rsid w:val="004B1A56"/>
    <w:rsid w:val="004D4FFA"/>
    <w:rsid w:val="005025C7"/>
    <w:rsid w:val="00512E5F"/>
    <w:rsid w:val="005777AB"/>
    <w:rsid w:val="00583EB7"/>
    <w:rsid w:val="00592177"/>
    <w:rsid w:val="00592CA5"/>
    <w:rsid w:val="00594D66"/>
    <w:rsid w:val="00594D70"/>
    <w:rsid w:val="005A67E3"/>
    <w:rsid w:val="005B0783"/>
    <w:rsid w:val="005D01ED"/>
    <w:rsid w:val="005E02CE"/>
    <w:rsid w:val="005F7D3F"/>
    <w:rsid w:val="006074E0"/>
    <w:rsid w:val="006174A7"/>
    <w:rsid w:val="00650EF3"/>
    <w:rsid w:val="00651E93"/>
    <w:rsid w:val="006573E1"/>
    <w:rsid w:val="0066020A"/>
    <w:rsid w:val="00667494"/>
    <w:rsid w:val="00667944"/>
    <w:rsid w:val="0069063D"/>
    <w:rsid w:val="006A1DE5"/>
    <w:rsid w:val="006A2B1F"/>
    <w:rsid w:val="006A6A06"/>
    <w:rsid w:val="006B324A"/>
    <w:rsid w:val="006B32DB"/>
    <w:rsid w:val="006E63C5"/>
    <w:rsid w:val="007017CB"/>
    <w:rsid w:val="00702B07"/>
    <w:rsid w:val="00704191"/>
    <w:rsid w:val="00710410"/>
    <w:rsid w:val="0071797E"/>
    <w:rsid w:val="00734B8D"/>
    <w:rsid w:val="007419C3"/>
    <w:rsid w:val="007469FE"/>
    <w:rsid w:val="0076493A"/>
    <w:rsid w:val="00766C5F"/>
    <w:rsid w:val="00771686"/>
    <w:rsid w:val="00774AA2"/>
    <w:rsid w:val="007761D2"/>
    <w:rsid w:val="00777236"/>
    <w:rsid w:val="00777E47"/>
    <w:rsid w:val="0078286D"/>
    <w:rsid w:val="007C6991"/>
    <w:rsid w:val="007E3FF6"/>
    <w:rsid w:val="007F10DF"/>
    <w:rsid w:val="008151D4"/>
    <w:rsid w:val="00830EC1"/>
    <w:rsid w:val="00844C9F"/>
    <w:rsid w:val="0085679E"/>
    <w:rsid w:val="008677D3"/>
    <w:rsid w:val="008C5A2E"/>
    <w:rsid w:val="008D5C27"/>
    <w:rsid w:val="008E258F"/>
    <w:rsid w:val="008F3ED7"/>
    <w:rsid w:val="00906535"/>
    <w:rsid w:val="00923EED"/>
    <w:rsid w:val="00986CA4"/>
    <w:rsid w:val="009A1991"/>
    <w:rsid w:val="009A3755"/>
    <w:rsid w:val="009A7558"/>
    <w:rsid w:val="009B184A"/>
    <w:rsid w:val="009B6244"/>
    <w:rsid w:val="009C52D8"/>
    <w:rsid w:val="009C54F4"/>
    <w:rsid w:val="009E48B9"/>
    <w:rsid w:val="00A0148D"/>
    <w:rsid w:val="00A17BFD"/>
    <w:rsid w:val="00A21252"/>
    <w:rsid w:val="00A21F50"/>
    <w:rsid w:val="00A24DBA"/>
    <w:rsid w:val="00A25B0D"/>
    <w:rsid w:val="00AA1961"/>
    <w:rsid w:val="00AB0340"/>
    <w:rsid w:val="00AB50F9"/>
    <w:rsid w:val="00AD4C2E"/>
    <w:rsid w:val="00AD6176"/>
    <w:rsid w:val="00AD6505"/>
    <w:rsid w:val="00AD6547"/>
    <w:rsid w:val="00B02C41"/>
    <w:rsid w:val="00B55140"/>
    <w:rsid w:val="00B564C8"/>
    <w:rsid w:val="00B760E6"/>
    <w:rsid w:val="00BA6202"/>
    <w:rsid w:val="00BE7F02"/>
    <w:rsid w:val="00BF77DB"/>
    <w:rsid w:val="00C03A97"/>
    <w:rsid w:val="00C120F4"/>
    <w:rsid w:val="00C22B6A"/>
    <w:rsid w:val="00C7190F"/>
    <w:rsid w:val="00C73E4B"/>
    <w:rsid w:val="00C81BC0"/>
    <w:rsid w:val="00C925A8"/>
    <w:rsid w:val="00CA1559"/>
    <w:rsid w:val="00CA2353"/>
    <w:rsid w:val="00CC1BA1"/>
    <w:rsid w:val="00CD0387"/>
    <w:rsid w:val="00CD3D58"/>
    <w:rsid w:val="00D34628"/>
    <w:rsid w:val="00D3736F"/>
    <w:rsid w:val="00D5327E"/>
    <w:rsid w:val="00D6279B"/>
    <w:rsid w:val="00D63132"/>
    <w:rsid w:val="00D64F61"/>
    <w:rsid w:val="00D65423"/>
    <w:rsid w:val="00DB073A"/>
    <w:rsid w:val="00DC50B1"/>
    <w:rsid w:val="00DD29DD"/>
    <w:rsid w:val="00DE4796"/>
    <w:rsid w:val="00E20CE8"/>
    <w:rsid w:val="00E54DA6"/>
    <w:rsid w:val="00E60516"/>
    <w:rsid w:val="00E61E33"/>
    <w:rsid w:val="00E85191"/>
    <w:rsid w:val="00EC5C6D"/>
    <w:rsid w:val="00ED1062"/>
    <w:rsid w:val="00EE080D"/>
    <w:rsid w:val="00EF3C6A"/>
    <w:rsid w:val="00F054EC"/>
    <w:rsid w:val="00F22556"/>
    <w:rsid w:val="00F278DE"/>
    <w:rsid w:val="00F311C2"/>
    <w:rsid w:val="00F34584"/>
    <w:rsid w:val="00F64BA6"/>
    <w:rsid w:val="00F76154"/>
    <w:rsid w:val="00F81A1B"/>
    <w:rsid w:val="00FA6A16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867ABE6E982EA437E2FCF0298A51AD9586793D071032DDCBB7A6D4518E8198B119B5C875524A2AQ138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6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134</cp:revision>
  <cp:lastPrinted>2015-01-21T06:47:00Z</cp:lastPrinted>
  <dcterms:created xsi:type="dcterms:W3CDTF">2013-01-17T03:21:00Z</dcterms:created>
  <dcterms:modified xsi:type="dcterms:W3CDTF">2015-01-23T11:45:00Z</dcterms:modified>
</cp:coreProperties>
</file>