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96" w:rsidRDefault="00F663D4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283396" w:rsidRDefault="00F663D4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283396" w:rsidRDefault="00283396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283396">
        <w:trPr>
          <w:trHeight w:val="520"/>
        </w:trPr>
        <w:tc>
          <w:tcPr>
            <w:tcW w:w="567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3" w:type="dxa"/>
            <w:gridSpan w:val="8"/>
            <w:vAlign w:val="center"/>
          </w:tcPr>
          <w:p w:rsidR="00283396" w:rsidRDefault="00F663D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283396">
        <w:tc>
          <w:tcPr>
            <w:tcW w:w="567" w:type="dxa"/>
            <w:vMerge/>
            <w:vAlign w:val="center"/>
          </w:tcPr>
          <w:p w:rsidR="00283396" w:rsidRDefault="00283396"/>
        </w:tc>
        <w:tc>
          <w:tcPr>
            <w:tcW w:w="709" w:type="dxa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4" w:type="dxa"/>
            <w:gridSpan w:val="3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283396" w:rsidRDefault="00F663D4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283396" w:rsidRDefault="00283396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283396" w:rsidRDefault="00283396"/>
        </w:tc>
        <w:tc>
          <w:tcPr>
            <w:tcW w:w="567" w:type="dxa"/>
            <w:vAlign w:val="center"/>
          </w:tcPr>
          <w:p w:rsidR="00283396" w:rsidRDefault="00F663D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3" w:type="dxa"/>
            <w:gridSpan w:val="3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283396" w:rsidRDefault="00283396">
            <w:pPr>
              <w:pStyle w:val="af8"/>
              <w:rPr>
                <w:rFonts w:ascii="Times New Roman" w:hAnsi="Times New Roman" w:cs="Times New Roman"/>
              </w:rPr>
            </w:pPr>
          </w:p>
          <w:p w:rsidR="00283396" w:rsidRDefault="00283396">
            <w:pPr>
              <w:pStyle w:val="af8"/>
              <w:rPr>
                <w:rFonts w:ascii="Times New Roman" w:hAnsi="Times New Roman" w:cs="Times New Roman"/>
              </w:rPr>
            </w:pPr>
          </w:p>
          <w:p w:rsidR="00283396" w:rsidRDefault="0028339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283396">
        <w:trPr>
          <w:trHeight w:val="534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6803" w:type="dxa"/>
            <w:gridSpan w:val="4"/>
          </w:tcPr>
          <w:p w:rsidR="00283396" w:rsidRDefault="00F663D4" w:rsidP="00610D4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</w:t>
            </w:r>
            <w:r w:rsidR="00610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Югорска</w:t>
            </w:r>
          </w:p>
        </w:tc>
        <w:tc>
          <w:tcPr>
            <w:tcW w:w="7200" w:type="dxa"/>
            <w:gridSpan w:val="4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283396">
        <w:trPr>
          <w:trHeight w:val="449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5" w:type="dxa"/>
            <w:gridSpan w:val="7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283396">
        <w:trPr>
          <w:trHeight w:val="1067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14003" w:type="dxa"/>
            <w:gridSpan w:val="8"/>
          </w:tcPr>
          <w:p w:rsidR="00283396" w:rsidRDefault="00F663D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proofErr w:type="gramEnd"/>
          </w:p>
        </w:tc>
      </w:tr>
      <w:tr w:rsidR="00283396">
        <w:trPr>
          <w:trHeight w:val="415"/>
        </w:trPr>
        <w:tc>
          <w:tcPr>
            <w:tcW w:w="567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3" w:type="dxa"/>
            <w:gridSpan w:val="8"/>
            <w:vAlign w:val="center"/>
          </w:tcPr>
          <w:p w:rsidR="00283396" w:rsidRDefault="00F663D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283396"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3" w:type="dxa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2" w:type="dxa"/>
            <w:gridSpan w:val="3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2" w:type="dxa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283396" w:rsidTr="00113E3D">
        <w:trPr>
          <w:trHeight w:val="940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4252" w:type="dxa"/>
            <w:gridSpan w:val="2"/>
            <w:vMerge w:val="restart"/>
            <w:vAlign w:val="center"/>
          </w:tcPr>
          <w:p w:rsidR="00283396" w:rsidRDefault="00283396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Жилищный кодекс Российской Федерации </w:t>
            </w:r>
          </w:p>
          <w:p w:rsidR="00283396" w:rsidRDefault="0028339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61" w:type="dxa"/>
            <w:gridSpan w:val="4"/>
          </w:tcPr>
          <w:p w:rsidR="00283396" w:rsidRDefault="00283396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9 части 1 статьи 20 </w:t>
            </w:r>
          </w:p>
          <w:p w:rsidR="00283396" w:rsidRDefault="00283396"/>
        </w:tc>
        <w:tc>
          <w:tcPr>
            <w:tcW w:w="4790" w:type="dxa"/>
            <w:gridSpan w:val="2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396" w:rsidRDefault="0028339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96" w:rsidRDefault="0028339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96" w:rsidRDefault="0028339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96">
        <w:trPr>
          <w:trHeight w:val="567"/>
        </w:trPr>
        <w:tc>
          <w:tcPr>
            <w:tcW w:w="567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283396"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2" w:type="dxa"/>
            <w:gridSpan w:val="3"/>
            <w:vMerge w:val="restart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283396" w:rsidRDefault="0028339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082" w:type="dxa"/>
          </w:tcPr>
          <w:p w:rsidR="00283396" w:rsidRDefault="00F663D4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283396">
        <w:trPr>
          <w:trHeight w:val="1666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4252" w:type="dxa"/>
            <w:gridSpan w:val="2"/>
            <w:vMerge w:val="restart"/>
          </w:tcPr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proofErr w:type="gramEnd"/>
          </w:p>
        </w:tc>
        <w:tc>
          <w:tcPr>
            <w:tcW w:w="4961" w:type="dxa"/>
            <w:gridSpan w:val="4"/>
            <w:vMerge w:val="restart"/>
            <w:vAlign w:val="center"/>
          </w:tcPr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</w:p>
        </w:tc>
        <w:tc>
          <w:tcPr>
            <w:tcW w:w="4790" w:type="dxa"/>
            <w:gridSpan w:val="2"/>
          </w:tcPr>
          <w:p w:rsidR="00283396" w:rsidRDefault="00283396"/>
        </w:tc>
      </w:tr>
      <w:tr w:rsidR="00283396">
        <w:trPr>
          <w:trHeight w:val="1114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4252" w:type="dxa"/>
            <w:gridSpan w:val="2"/>
            <w:vMerge/>
          </w:tcPr>
          <w:p w:rsidR="00283396" w:rsidRDefault="00283396"/>
        </w:tc>
        <w:tc>
          <w:tcPr>
            <w:tcW w:w="4961" w:type="dxa"/>
            <w:gridSpan w:val="4"/>
            <w:vMerge w:val="restart"/>
            <w:vAlign w:val="center"/>
          </w:tcPr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</w:p>
        </w:tc>
        <w:tc>
          <w:tcPr>
            <w:tcW w:w="4790" w:type="dxa"/>
            <w:gridSpan w:val="2"/>
          </w:tcPr>
          <w:p w:rsidR="00283396" w:rsidRDefault="00283396"/>
        </w:tc>
      </w:tr>
      <w:tr w:rsidR="00283396">
        <w:trPr>
          <w:trHeight w:val="425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4252" w:type="dxa"/>
            <w:gridSpan w:val="2"/>
            <w:vMerge/>
          </w:tcPr>
          <w:p w:rsidR="00283396" w:rsidRDefault="00283396"/>
        </w:tc>
        <w:tc>
          <w:tcPr>
            <w:tcW w:w="4961" w:type="dxa"/>
            <w:gridSpan w:val="4"/>
            <w:vMerge w:val="restart"/>
            <w:vAlign w:val="center"/>
          </w:tcPr>
          <w:p w:rsidR="00283396" w:rsidRDefault="00F663D4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proofErr w:type="gramEnd"/>
          </w:p>
        </w:tc>
        <w:tc>
          <w:tcPr>
            <w:tcW w:w="4790" w:type="dxa"/>
            <w:gridSpan w:val="2"/>
          </w:tcPr>
          <w:p w:rsidR="00283396" w:rsidRDefault="00283396"/>
        </w:tc>
      </w:tr>
      <w:tr w:rsidR="00283396">
        <w:trPr>
          <w:trHeight w:val="613"/>
        </w:trPr>
        <w:tc>
          <w:tcPr>
            <w:tcW w:w="567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83396">
        <w:trPr>
          <w:trHeight w:val="415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5" w:type="dxa"/>
            <w:gridSpan w:val="7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14003" w:type="dxa"/>
            <w:gridSpan w:val="8"/>
            <w:vMerge w:val="restart"/>
          </w:tcPr>
          <w:p w:rsidR="00283396" w:rsidRDefault="00DF05D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три месяца</w:t>
            </w:r>
          </w:p>
        </w:tc>
      </w:tr>
      <w:tr w:rsidR="00283396">
        <w:trPr>
          <w:trHeight w:val="456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5" w:type="dxa"/>
            <w:gridSpan w:val="7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14003" w:type="dxa"/>
            <w:gridSpan w:val="8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283396">
        <w:trPr>
          <w:trHeight w:val="497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5" w:type="dxa"/>
            <w:gridSpan w:val="7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3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2" w:type="dxa"/>
            <w:gridSpan w:val="3"/>
            <w:vMerge w:val="restart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283396" w:rsidRDefault="00F663D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2" w:type="dxa"/>
            <w:vMerge w:val="restart"/>
          </w:tcPr>
          <w:p w:rsidR="00283396" w:rsidRDefault="00F663D4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4252" w:type="dxa"/>
            <w:gridSpan w:val="2"/>
            <w:vMerge w:val="restart"/>
          </w:tcPr>
          <w:p w:rsidR="00283396" w:rsidRDefault="00F6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1" w:type="dxa"/>
            <w:gridSpan w:val="4"/>
            <w:vMerge w:val="restart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91" w:type="dxa"/>
            <w:gridSpan w:val="2"/>
            <w:vMerge w:val="restart"/>
          </w:tcPr>
          <w:p w:rsidR="00283396" w:rsidRDefault="00113E3D" w:rsidP="00650C0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650C0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650C0D">
              <w:rPr>
                <w:rFonts w:ascii="Times New Roman" w:hAnsi="Times New Roman" w:cs="Times New Roman"/>
                <w:sz w:val="24"/>
                <w:szCs w:val="24"/>
              </w:rPr>
              <w:t>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(ГИС ЖКХ) и  сведения, имеющиеся в распоряжении Управления контроля администрации города Югорска.</w:t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4252" w:type="dxa"/>
            <w:gridSpan w:val="2"/>
            <w:vMerge w:val="restart"/>
          </w:tcPr>
          <w:p w:rsidR="00283396" w:rsidRDefault="00F6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1" w:type="dxa"/>
            <w:gridSpan w:val="4"/>
            <w:vMerge w:val="restart"/>
          </w:tcPr>
          <w:p w:rsidR="00283396" w:rsidRDefault="00F663D4" w:rsidP="00DF05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 w:rsidR="00DF05D7">
              <w:rPr>
                <w:rFonts w:ascii="Times New Roman" w:hAnsi="Times New Roman" w:cs="Times New Roman"/>
              </w:rPr>
              <w:t>больше 2 за  три месяца</w:t>
            </w:r>
          </w:p>
        </w:tc>
        <w:tc>
          <w:tcPr>
            <w:tcW w:w="4791" w:type="dxa"/>
            <w:gridSpan w:val="2"/>
            <w:vMerge w:val="restart"/>
          </w:tcPr>
          <w:p w:rsidR="00283396" w:rsidRDefault="00113E3D" w:rsidP="00650C0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650C0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650C0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650C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(ГИС ЖКХ) и  сведения, имеющиеся в распоряжении Управления контроля администрации города Югорска.</w:t>
            </w:r>
          </w:p>
        </w:tc>
      </w:tr>
      <w:tr w:rsidR="00283396">
        <w:trPr>
          <w:trHeight w:val="1236"/>
        </w:trPr>
        <w:tc>
          <w:tcPr>
            <w:tcW w:w="567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83396">
        <w:trPr>
          <w:trHeight w:val="1315"/>
        </w:trPr>
        <w:tc>
          <w:tcPr>
            <w:tcW w:w="567" w:type="dxa"/>
            <w:vMerge/>
            <w:vAlign w:val="center"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90" w:type="dxa"/>
            <w:gridSpan w:val="2"/>
            <w:vMerge w:val="restart"/>
            <w:vAlign w:val="center"/>
          </w:tcPr>
          <w:p w:rsidR="00283396" w:rsidRDefault="00F663D4">
            <w:r>
              <w:rPr>
                <w:rFonts w:ascii="Times New Roman" w:hAnsi="Times New Roman" w:cs="Times New Roman"/>
              </w:rPr>
              <w:t xml:space="preserve"> Выписка из реестра лицензии по управлению многоквартирными домами.</w:t>
            </w:r>
          </w:p>
        </w:tc>
      </w:tr>
      <w:tr w:rsidR="00283396">
        <w:trPr>
          <w:trHeight w:val="1558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90" w:type="dxa"/>
            <w:gridSpan w:val="2"/>
            <w:vMerge w:val="restart"/>
            <w:vAlign w:val="center"/>
          </w:tcPr>
          <w:p w:rsidR="00283396" w:rsidRDefault="00F66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Выгрузка из информационной системы государственной информационной системы жилищно-коммунального хозяйства</w:t>
            </w:r>
            <w:r w:rsidR="002D5DE8">
              <w:rPr>
                <w:rFonts w:ascii="Times New Roman" w:hAnsi="Times New Roman" w:cs="Times New Roman"/>
              </w:rPr>
              <w:t xml:space="preserve"> </w:t>
            </w:r>
            <w:r w:rsidR="002D5DE8">
              <w:rPr>
                <w:rFonts w:ascii="Times New Roman" w:hAnsi="Times New Roman" w:cs="Times New Roman"/>
                <w:sz w:val="24"/>
                <w:szCs w:val="24"/>
              </w:rPr>
              <w:t>(ГИС ЖКХ)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283396" w:rsidRDefault="00283396"/>
        </w:tc>
        <w:tc>
          <w:tcPr>
            <w:tcW w:w="4791" w:type="dxa"/>
            <w:gridSpan w:val="2"/>
            <w:vMerge w:val="restart"/>
          </w:tcPr>
          <w:p w:rsidR="00283396" w:rsidRDefault="00F663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Предостережение.</w:t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/>
          </w:tcPr>
          <w:p w:rsidR="00283396" w:rsidRDefault="00283396"/>
        </w:tc>
        <w:tc>
          <w:tcPr>
            <w:tcW w:w="3543" w:type="dxa"/>
            <w:gridSpan w:val="5"/>
            <w:vMerge/>
          </w:tcPr>
          <w:p w:rsidR="00283396" w:rsidRDefault="00283396"/>
        </w:tc>
        <w:tc>
          <w:tcPr>
            <w:tcW w:w="4791" w:type="dxa"/>
            <w:gridSpan w:val="2"/>
            <w:vMerge w:val="restart"/>
          </w:tcPr>
          <w:p w:rsidR="00283396" w:rsidRDefault="00F663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/>
          </w:tcPr>
          <w:p w:rsidR="00283396" w:rsidRDefault="00283396"/>
        </w:tc>
        <w:tc>
          <w:tcPr>
            <w:tcW w:w="3543" w:type="dxa"/>
            <w:gridSpan w:val="5"/>
            <w:vMerge/>
          </w:tcPr>
          <w:p w:rsidR="00283396" w:rsidRDefault="00283396"/>
        </w:tc>
        <w:tc>
          <w:tcPr>
            <w:tcW w:w="4791" w:type="dxa"/>
            <w:gridSpan w:val="2"/>
            <w:vMerge w:val="restart"/>
          </w:tcPr>
          <w:p w:rsidR="00283396" w:rsidRDefault="00F663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283396">
        <w:trPr>
          <w:trHeight w:val="253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/>
          </w:tcPr>
          <w:p w:rsidR="00283396" w:rsidRDefault="00283396"/>
        </w:tc>
        <w:tc>
          <w:tcPr>
            <w:tcW w:w="3543" w:type="dxa"/>
            <w:gridSpan w:val="5"/>
            <w:vMerge/>
          </w:tcPr>
          <w:p w:rsidR="00283396" w:rsidRDefault="00283396"/>
        </w:tc>
        <w:tc>
          <w:tcPr>
            <w:tcW w:w="4791" w:type="dxa"/>
            <w:gridSpan w:val="2"/>
            <w:vMerge w:val="restart"/>
          </w:tcPr>
          <w:p w:rsidR="00283396" w:rsidRDefault="00F663D4" w:rsidP="00B3739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профилактического визита</w:t>
            </w:r>
          </w:p>
        </w:tc>
      </w:tr>
      <w:tr w:rsidR="00283396">
        <w:trPr>
          <w:trHeight w:val="1052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283396" w:rsidRDefault="00F663D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90" w:type="dxa"/>
            <w:gridSpan w:val="2"/>
            <w:vMerge w:val="restart"/>
          </w:tcPr>
          <w:p w:rsidR="00283396" w:rsidRDefault="00283396"/>
        </w:tc>
      </w:tr>
      <w:tr w:rsidR="00283396">
        <w:trPr>
          <w:trHeight w:val="567"/>
        </w:trPr>
        <w:tc>
          <w:tcPr>
            <w:tcW w:w="567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83396">
        <w:trPr>
          <w:trHeight w:val="1309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283396" w:rsidRDefault="00F663D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B3739A" w:rsidRPr="00B3739A" w:rsidRDefault="00B3739A" w:rsidP="00B373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739A">
              <w:rPr>
                <w:sz w:val="22"/>
                <w:szCs w:val="22"/>
              </w:rPr>
              <w:t xml:space="preserve">контрольные мероприятия </w:t>
            </w:r>
            <w:proofErr w:type="gramStart"/>
            <w:r w:rsidRPr="00B3739A">
              <w:rPr>
                <w:sz w:val="22"/>
                <w:szCs w:val="22"/>
              </w:rPr>
              <w:t>со</w:t>
            </w:r>
            <w:proofErr w:type="gramEnd"/>
            <w:r w:rsidRPr="00B3739A">
              <w:rPr>
                <w:sz w:val="22"/>
                <w:szCs w:val="22"/>
              </w:rPr>
              <w:t xml:space="preserve"> взаимодействием с контролируемым лицом:</w:t>
            </w:r>
          </w:p>
          <w:p w:rsidR="00B3739A" w:rsidRPr="00B3739A" w:rsidRDefault="00B3739A" w:rsidP="00B373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3739A">
              <w:rPr>
                <w:color w:val="22272F"/>
                <w:sz w:val="22"/>
                <w:szCs w:val="22"/>
              </w:rPr>
              <w:t>1) инспекционный визит;</w:t>
            </w:r>
          </w:p>
          <w:p w:rsidR="00B3739A" w:rsidRPr="00B3739A" w:rsidRDefault="00B3739A" w:rsidP="00B373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3739A">
              <w:rPr>
                <w:color w:val="22272F"/>
                <w:sz w:val="22"/>
                <w:szCs w:val="22"/>
              </w:rPr>
              <w:t>2) документарная проверка;</w:t>
            </w:r>
          </w:p>
          <w:p w:rsidR="00B3739A" w:rsidRPr="00B3739A" w:rsidRDefault="00B3739A" w:rsidP="00B373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3739A">
              <w:rPr>
                <w:color w:val="22272F"/>
                <w:sz w:val="22"/>
                <w:szCs w:val="22"/>
              </w:rPr>
              <w:t xml:space="preserve">3) выездная проверка; </w:t>
            </w:r>
          </w:p>
          <w:p w:rsidR="00B3739A" w:rsidRPr="00B3739A" w:rsidRDefault="00B3739A" w:rsidP="00B373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3739A">
              <w:rPr>
                <w:color w:val="22272F"/>
                <w:sz w:val="22"/>
                <w:szCs w:val="22"/>
              </w:rPr>
              <w:t>4) рейдовый осмотр.</w:t>
            </w:r>
          </w:p>
          <w:p w:rsidR="00B3739A" w:rsidRPr="00B3739A" w:rsidRDefault="00B3739A" w:rsidP="00B3739A">
            <w:pPr>
              <w:jc w:val="both"/>
              <w:rPr>
                <w:rFonts w:ascii="Times New Roman" w:hAnsi="Times New Roman" w:cs="Times New Roman"/>
              </w:rPr>
            </w:pPr>
          </w:p>
          <w:p w:rsidR="00B3739A" w:rsidRPr="002B1874" w:rsidRDefault="00B3739A" w:rsidP="00B3739A">
            <w:pPr>
              <w:jc w:val="both"/>
              <w:rPr>
                <w:rFonts w:ascii="Times New Roman" w:hAnsi="Times New Roman" w:cs="Times New Roman"/>
              </w:rPr>
            </w:pPr>
            <w:r w:rsidRPr="00B3739A">
              <w:rPr>
                <w:rFonts w:ascii="Times New Roman" w:hAnsi="Times New Roman" w:cs="Times New Roman"/>
              </w:rPr>
              <w:t xml:space="preserve">контрольные мероприятия без взаимодействия с </w:t>
            </w:r>
            <w:r w:rsidRPr="002B1874">
              <w:rPr>
                <w:rFonts w:ascii="Times New Roman" w:hAnsi="Times New Roman" w:cs="Times New Roman"/>
              </w:rPr>
              <w:lastRenderedPageBreak/>
              <w:t>контролируемым лицом:</w:t>
            </w:r>
          </w:p>
          <w:p w:rsidR="00283396" w:rsidRPr="002B1874" w:rsidRDefault="00B3739A" w:rsidP="00B3739A">
            <w:pPr>
              <w:jc w:val="both"/>
              <w:rPr>
                <w:rFonts w:ascii="Times New Roman" w:hAnsi="Times New Roman" w:cs="Times New Roman"/>
                <w:color w:val="22272F"/>
              </w:rPr>
            </w:pPr>
            <w:r w:rsidRPr="002B1874">
              <w:rPr>
                <w:rFonts w:ascii="Times New Roman" w:hAnsi="Times New Roman" w:cs="Times New Roman"/>
                <w:color w:val="22272F"/>
              </w:rPr>
              <w:t>1) наблюдение за соблюдением обязательных требований (мониторинг безопасности</w:t>
            </w:r>
            <w:r w:rsidR="002B1874" w:rsidRPr="002B1874">
              <w:rPr>
                <w:rFonts w:ascii="Times New Roman" w:hAnsi="Times New Roman" w:cs="Times New Roman"/>
                <w:color w:val="22272F"/>
              </w:rPr>
              <w:t>);</w:t>
            </w:r>
          </w:p>
          <w:p w:rsidR="002B1874" w:rsidRDefault="002B1874" w:rsidP="00B3739A">
            <w:pPr>
              <w:jc w:val="both"/>
              <w:rPr>
                <w:rFonts w:ascii="Times New Roman" w:hAnsi="Times New Roman" w:cs="Times New Roman"/>
              </w:rPr>
            </w:pPr>
            <w:r w:rsidRPr="002B1874">
              <w:rPr>
                <w:rFonts w:ascii="Times New Roman" w:hAnsi="Times New Roman" w:cs="Times New Roman"/>
                <w:color w:val="22272F"/>
              </w:rPr>
              <w:t>2) выездное обследование.</w:t>
            </w:r>
          </w:p>
        </w:tc>
      </w:tr>
      <w:tr w:rsidR="00283396">
        <w:trPr>
          <w:trHeight w:val="879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:rsidR="00283396" w:rsidRDefault="00F663D4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283396" w:rsidRDefault="00BA0328">
            <w:pPr>
              <w:pStyle w:val="af8"/>
              <w:rPr>
                <w:rFonts w:ascii="Times New Roman" w:hAnsi="Times New Roman" w:cs="Times New Roman"/>
              </w:rPr>
            </w:pPr>
            <w:r w:rsidRPr="00BA0328">
              <w:rPr>
                <w:rFonts w:ascii="Times New Roman" w:hAnsi="Times New Roman" w:cs="Times New Roman"/>
              </w:rPr>
              <w:t>Да</w:t>
            </w:r>
            <w:bookmarkStart w:id="0" w:name="_GoBack"/>
            <w:bookmarkEnd w:id="0"/>
          </w:p>
        </w:tc>
      </w:tr>
      <w:tr w:rsidR="00283396">
        <w:trPr>
          <w:trHeight w:val="1124"/>
        </w:trPr>
        <w:tc>
          <w:tcPr>
            <w:tcW w:w="567" w:type="dxa"/>
            <w:vMerge/>
          </w:tcPr>
          <w:p w:rsidR="00283396" w:rsidRDefault="00283396"/>
        </w:tc>
        <w:tc>
          <w:tcPr>
            <w:tcW w:w="709" w:type="dxa"/>
            <w:vMerge w:val="restart"/>
            <w:vAlign w:val="center"/>
          </w:tcPr>
          <w:p w:rsidR="00283396" w:rsidRDefault="00F663D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4" w:type="dxa"/>
            <w:gridSpan w:val="5"/>
            <w:vMerge w:val="restart"/>
          </w:tcPr>
          <w:p w:rsidR="00283396" w:rsidRDefault="00F663D4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283396" w:rsidRDefault="00F663D4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83396" w:rsidRDefault="00F663D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283396" w:rsidRDefault="00F663D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83396" w:rsidRDefault="0028339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283396" w:rsidRDefault="0028339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283396" w:rsidRDefault="0028339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283396" w:rsidRDefault="00F663D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10D4C" w:rsidRPr="00E023DC" w:rsidRDefault="00B64FF2" w:rsidP="00610D4C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Специалист-эксперт У</w:t>
      </w:r>
      <w:r w:rsidR="00610D4C" w:rsidRPr="00E023DC">
        <w:rPr>
          <w:rFonts w:ascii="Times New Roman" w:hAnsi="Times New Roman" w:cs="Times New Roman"/>
          <w:bCs/>
          <w:u w:val="single"/>
        </w:rPr>
        <w:t xml:space="preserve">правления контроля </w:t>
      </w:r>
    </w:p>
    <w:p w:rsidR="00610D4C" w:rsidRPr="00E023DC" w:rsidRDefault="00610D4C" w:rsidP="00610D4C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 w:rsidRPr="00E023DC">
        <w:rPr>
          <w:rFonts w:ascii="Times New Roman" w:hAnsi="Times New Roman" w:cs="Times New Roman"/>
          <w:bCs/>
          <w:u w:val="single"/>
        </w:rPr>
        <w:t>администрации города Югорска</w:t>
      </w:r>
    </w:p>
    <w:p w:rsidR="00610D4C" w:rsidRPr="00E023DC" w:rsidRDefault="00610D4C" w:rsidP="00610D4C">
      <w:pPr>
        <w:pStyle w:val="af8"/>
        <w:jc w:val="right"/>
        <w:rPr>
          <w:rFonts w:ascii="Times New Roman" w:hAnsi="Times New Roman" w:cs="Times New Roman"/>
        </w:rPr>
      </w:pPr>
      <w:r w:rsidRPr="00E023DC">
        <w:rPr>
          <w:rFonts w:ascii="Times New Roman" w:hAnsi="Times New Roman" w:cs="Times New Roman"/>
          <w:bCs/>
          <w:u w:val="single"/>
        </w:rPr>
        <w:t xml:space="preserve"> Савельева Оксана Владиславовна</w:t>
      </w:r>
    </w:p>
    <w:p w:rsidR="00610D4C" w:rsidRDefault="00610D4C" w:rsidP="00610D4C">
      <w:pPr>
        <w:pStyle w:val="af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</w:rPr>
        <w:t>ФИО ответственного лица)</w:t>
      </w:r>
      <w:proofErr w:type="gramEnd"/>
    </w:p>
    <w:p w:rsidR="00610D4C" w:rsidRDefault="00610D4C" w:rsidP="00610D4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Тел.:8(34675) 5-00-90 </w:t>
      </w:r>
    </w:p>
    <w:p w:rsidR="00610D4C" w:rsidRDefault="00610D4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sectPr w:rsidR="00610D4C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95" w:rsidRDefault="008A4895">
      <w:pPr>
        <w:spacing w:after="0" w:line="240" w:lineRule="auto"/>
      </w:pPr>
      <w:r>
        <w:separator/>
      </w:r>
    </w:p>
  </w:endnote>
  <w:endnote w:type="continuationSeparator" w:id="0">
    <w:p w:rsidR="008A4895" w:rsidRDefault="008A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95" w:rsidRDefault="008A4895">
      <w:pPr>
        <w:spacing w:after="0" w:line="240" w:lineRule="auto"/>
      </w:pPr>
      <w:r>
        <w:separator/>
      </w:r>
    </w:p>
  </w:footnote>
  <w:footnote w:type="continuationSeparator" w:id="0">
    <w:p w:rsidR="008A4895" w:rsidRDefault="008A4895">
      <w:pPr>
        <w:spacing w:after="0" w:line="240" w:lineRule="auto"/>
      </w:pPr>
      <w:r>
        <w:continuationSeparator/>
      </w:r>
    </w:p>
  </w:footnote>
  <w:footnote w:id="1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83396" w:rsidRDefault="00F663D4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83396" w:rsidRDefault="00F663D4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283396" w:rsidRDefault="00F663D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83396" w:rsidRDefault="00F663D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96"/>
    <w:rsid w:val="00113E3D"/>
    <w:rsid w:val="00155D58"/>
    <w:rsid w:val="0022536C"/>
    <w:rsid w:val="00283396"/>
    <w:rsid w:val="002B1874"/>
    <w:rsid w:val="002D5DE8"/>
    <w:rsid w:val="004B0B70"/>
    <w:rsid w:val="005E159F"/>
    <w:rsid w:val="00610D4C"/>
    <w:rsid w:val="00650C0D"/>
    <w:rsid w:val="008A4895"/>
    <w:rsid w:val="00A86C25"/>
    <w:rsid w:val="00B3739A"/>
    <w:rsid w:val="00B64FF2"/>
    <w:rsid w:val="00BA0328"/>
    <w:rsid w:val="00BD68A8"/>
    <w:rsid w:val="00C478C0"/>
    <w:rsid w:val="00DF05D7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B3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B3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Халиков Руслан Нагимович</cp:lastModifiedBy>
  <cp:revision>14</cp:revision>
  <dcterms:created xsi:type="dcterms:W3CDTF">2025-10-06T10:13:00Z</dcterms:created>
  <dcterms:modified xsi:type="dcterms:W3CDTF">2025-11-01T07:19:00Z</dcterms:modified>
</cp:coreProperties>
</file>