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830CFA" w:rsidRDefault="00B824E8" w:rsidP="00DB49F9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 xml:space="preserve">Пояснительная записка </w:t>
      </w:r>
      <w:r w:rsidR="00E628DA" w:rsidRPr="00830CFA">
        <w:rPr>
          <w:b/>
        </w:rPr>
        <w:t xml:space="preserve">о </w:t>
      </w:r>
      <w:r>
        <w:rPr>
          <w:b/>
        </w:rPr>
        <w:t xml:space="preserve">ходе </w:t>
      </w:r>
      <w:r w:rsidR="00E628DA" w:rsidRPr="00830CFA">
        <w:rPr>
          <w:b/>
        </w:rPr>
        <w:t>реализации Программы «</w:t>
      </w:r>
      <w:r>
        <w:rPr>
          <w:b/>
        </w:rPr>
        <w:t>Доступная среда</w:t>
      </w:r>
      <w:r w:rsidR="00E628DA" w:rsidRPr="00830CFA">
        <w:rPr>
          <w:b/>
        </w:rPr>
        <w:t xml:space="preserve"> в городе Югорске на 201</w:t>
      </w:r>
      <w:r>
        <w:rPr>
          <w:b/>
        </w:rPr>
        <w:t>4</w:t>
      </w:r>
      <w:r w:rsidR="00E628DA" w:rsidRPr="00830CFA">
        <w:rPr>
          <w:b/>
        </w:rPr>
        <w:t xml:space="preserve"> – 20</w:t>
      </w:r>
      <w:r>
        <w:rPr>
          <w:b/>
        </w:rPr>
        <w:t>20</w:t>
      </w:r>
      <w:r w:rsidR="00E628DA" w:rsidRPr="00830CFA">
        <w:rPr>
          <w:b/>
        </w:rPr>
        <w:t xml:space="preserve"> годы»</w:t>
      </w:r>
      <w:r w:rsidR="00F94525">
        <w:rPr>
          <w:b/>
        </w:rPr>
        <w:t xml:space="preserve"> за 201</w:t>
      </w:r>
      <w:r w:rsidR="003E3C6B">
        <w:rPr>
          <w:b/>
        </w:rPr>
        <w:t>5</w:t>
      </w:r>
      <w:r w:rsidR="00F94525">
        <w:rPr>
          <w:b/>
        </w:rPr>
        <w:t xml:space="preserve"> год</w:t>
      </w:r>
    </w:p>
    <w:p w:rsidR="00AB2EBC" w:rsidRDefault="00AB2EBC" w:rsidP="00AB2EBC">
      <w:pPr>
        <w:jc w:val="both"/>
      </w:pPr>
    </w:p>
    <w:p w:rsidR="00464DA6" w:rsidRDefault="00464DA6" w:rsidP="00E46284">
      <w:pPr>
        <w:ind w:firstLine="851"/>
        <w:jc w:val="both"/>
      </w:pPr>
      <w:r>
        <w:t xml:space="preserve">Постановлением администрации города Югорска от </w:t>
      </w:r>
      <w:r w:rsidR="00B824E8">
        <w:t>31</w:t>
      </w:r>
      <w:r>
        <w:t xml:space="preserve">.10.2012 № </w:t>
      </w:r>
      <w:r w:rsidR="00B824E8">
        <w:t>3275</w:t>
      </w:r>
      <w:r>
        <w:t xml:space="preserve"> утверждена </w:t>
      </w:r>
      <w:r w:rsidR="00B824E8">
        <w:t>муниципальная</w:t>
      </w:r>
      <w:r>
        <w:t xml:space="preserve"> программа </w:t>
      </w:r>
      <w:r w:rsidRPr="00464DA6">
        <w:t>«</w:t>
      </w:r>
      <w:r w:rsidR="00B824E8">
        <w:t>Доступная среда</w:t>
      </w:r>
      <w:r w:rsidRPr="00464DA6">
        <w:t xml:space="preserve"> в городе Югорске на 201</w:t>
      </w:r>
      <w:r w:rsidR="00B824E8">
        <w:t>4</w:t>
      </w:r>
      <w:r w:rsidRPr="00464DA6">
        <w:t xml:space="preserve"> – 20</w:t>
      </w:r>
      <w:r w:rsidR="00B824E8">
        <w:t>20</w:t>
      </w:r>
      <w:r w:rsidRPr="00464DA6">
        <w:t xml:space="preserve"> годы»</w:t>
      </w:r>
      <w:r>
        <w:t>.</w:t>
      </w:r>
    </w:p>
    <w:p w:rsidR="00EE3F93" w:rsidRDefault="00EE3F93" w:rsidP="00E46284">
      <w:pPr>
        <w:ind w:firstLine="851"/>
        <w:jc w:val="both"/>
      </w:pPr>
      <w:r>
        <w:t>Программой на 201</w:t>
      </w:r>
      <w:r w:rsidR="003E3C6B">
        <w:t>5</w:t>
      </w:r>
      <w:r>
        <w:t xml:space="preserve"> год предусм</w:t>
      </w:r>
      <w:r w:rsidR="00B824E8">
        <w:t>о</w:t>
      </w:r>
      <w:r>
        <w:t>тр</w:t>
      </w:r>
      <w:r w:rsidR="00B824E8">
        <w:t>ено</w:t>
      </w:r>
      <w:r>
        <w:t xml:space="preserve"> финансирование мероприятий в объеме </w:t>
      </w:r>
      <w:r w:rsidR="003E3C6B">
        <w:t>70,0</w:t>
      </w:r>
      <w:r>
        <w:t xml:space="preserve"> тыс. рублей, в том числе из средств бюджета города Югорска </w:t>
      </w:r>
      <w:r w:rsidR="003E3C6B">
        <w:t>70,0</w:t>
      </w:r>
      <w:r>
        <w:t xml:space="preserve"> тыс. рублей. Освоение средств </w:t>
      </w:r>
      <w:r w:rsidR="00B824E8">
        <w:t xml:space="preserve">за </w:t>
      </w:r>
      <w:r w:rsidR="0018089B">
        <w:t>201</w:t>
      </w:r>
      <w:r w:rsidR="003E3C6B">
        <w:t>5</w:t>
      </w:r>
      <w:r w:rsidR="0018089B">
        <w:t xml:space="preserve"> год</w:t>
      </w:r>
      <w:r w:rsidR="00B824E8">
        <w:t xml:space="preserve"> </w:t>
      </w:r>
      <w:r>
        <w:t xml:space="preserve">составило </w:t>
      </w:r>
      <w:r w:rsidR="003E3C6B">
        <w:t>70,0</w:t>
      </w:r>
      <w:r>
        <w:t xml:space="preserve"> тыс. рублей (</w:t>
      </w:r>
      <w:r w:rsidR="003E3C6B">
        <w:t>100</w:t>
      </w:r>
      <w:r w:rsidR="00BA013E">
        <w:t>%</w:t>
      </w:r>
      <w:r>
        <w:t xml:space="preserve"> от плана), в том числе средства бюджета города Югорска – </w:t>
      </w:r>
      <w:r w:rsidR="003E3C6B">
        <w:t>70,0</w:t>
      </w:r>
      <w:r w:rsidR="00BA013E">
        <w:t xml:space="preserve"> тыс. рублей</w:t>
      </w:r>
      <w:r>
        <w:t xml:space="preserve"> (</w:t>
      </w:r>
      <w:r w:rsidR="003E3C6B">
        <w:t>100</w:t>
      </w:r>
      <w:r>
        <w:t xml:space="preserve">% от плана). </w:t>
      </w:r>
    </w:p>
    <w:p w:rsidR="00E628DA" w:rsidRDefault="00E628DA" w:rsidP="00AB2EBC">
      <w:pPr>
        <w:jc w:val="both"/>
      </w:pPr>
      <w:r>
        <w:t>В 201</w:t>
      </w:r>
      <w:r w:rsidR="00B824E8">
        <w:t>4</w:t>
      </w:r>
      <w:r>
        <w:t xml:space="preserve"> году выполнены </w:t>
      </w:r>
      <w:r w:rsidR="00AB2EBC">
        <w:t>следующие мероприятия, предусмотренные Программой: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ED34A1">
        <w:rPr>
          <w:rFonts w:cs="Tahoma"/>
        </w:rPr>
        <w:t>Выполнение</w:t>
      </w:r>
      <w:r w:rsidRPr="00FA16E7">
        <w:rPr>
          <w:rFonts w:cs="Tahoma"/>
          <w:b/>
        </w:rPr>
        <w:t xml:space="preserve">   задачи</w:t>
      </w:r>
      <w:r>
        <w:rPr>
          <w:rFonts w:cs="Tahoma"/>
          <w:b/>
        </w:rPr>
        <w:t xml:space="preserve"> 1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 осуществлялось по следующим направлениям: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proofErr w:type="gramStart"/>
      <w:r>
        <w:rPr>
          <w:szCs w:val="29"/>
        </w:rPr>
        <w:t>В целях реализации Соглашения о взаимодействии муниципального образования городской округ город Югорск и Департамент социального развития Ханты-Мансийского автономного округа – Югры по реализации Государственной программы Российской Федерации «Доступная среда» на 2011 – 2015 годы, во исполнение решения Совета по делам инвалидов при Губернаторе Ханты-Мансийского автономного округа – Югры (протокол от 22.05.2013 № 2), во исполнение распоряжения администрации города Югорска от 18.07.2013 № 430 «О формировании</w:t>
      </w:r>
      <w:proofErr w:type="gramEnd"/>
      <w:r>
        <w:rPr>
          <w:szCs w:val="29"/>
        </w:rPr>
        <w:t xml:space="preserve"> паспортов </w:t>
      </w:r>
      <w:proofErr w:type="gramStart"/>
      <w:r>
        <w:rPr>
          <w:szCs w:val="29"/>
        </w:rPr>
        <w:t>доступности объектов социальной инфраструктуры города Югорска</w:t>
      </w:r>
      <w:proofErr w:type="gramEnd"/>
      <w:r>
        <w:rPr>
          <w:szCs w:val="29"/>
        </w:rPr>
        <w:t xml:space="preserve"> для инвалидов и других маломобильных групп населения» рабочей группой в течение года проведено </w:t>
      </w:r>
      <w:r w:rsidRPr="00ED34A1">
        <w:rPr>
          <w:rFonts w:cs="Tahoma"/>
        </w:rPr>
        <w:t>обследовани</w:t>
      </w:r>
      <w:r>
        <w:rPr>
          <w:rFonts w:cs="Tahoma"/>
        </w:rPr>
        <w:t>е</w:t>
      </w:r>
      <w:r w:rsidRPr="00ED34A1">
        <w:rPr>
          <w:rFonts w:cs="Tahoma"/>
        </w:rPr>
        <w:t xml:space="preserve"> объектов, находящихся в муниципальной собственности, на соответствие требованиям доступности для инвалидов, с обязательным привлечением общественных организаций инвалидов</w:t>
      </w:r>
      <w:r>
        <w:rPr>
          <w:rFonts w:cs="Tahoma"/>
        </w:rPr>
        <w:t>.</w:t>
      </w:r>
    </w:p>
    <w:p w:rsidR="00ED34A1" w:rsidRDefault="00ED34A1" w:rsidP="003E3C6B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По результатам обследований объектов</w:t>
      </w:r>
      <w:r w:rsidR="003E3C6B">
        <w:rPr>
          <w:rFonts w:cs="Tahoma"/>
        </w:rPr>
        <w:t>, в том числе введенных в эксплуатацию в последнее время,</w:t>
      </w:r>
      <w:r>
        <w:rPr>
          <w:rFonts w:cs="Tahoma"/>
        </w:rPr>
        <w:t xml:space="preserve"> сф</w:t>
      </w:r>
      <w:r w:rsidRPr="00ED34A1">
        <w:rPr>
          <w:rFonts w:cs="Tahoma"/>
        </w:rPr>
        <w:t>ормирован</w:t>
      </w:r>
      <w:r>
        <w:rPr>
          <w:rFonts w:cs="Tahoma"/>
        </w:rPr>
        <w:t>ы</w:t>
      </w:r>
      <w:r w:rsidRPr="00ED34A1">
        <w:rPr>
          <w:rFonts w:cs="Tahoma"/>
        </w:rPr>
        <w:t xml:space="preserve"> паспорт</w:t>
      </w:r>
      <w:r>
        <w:rPr>
          <w:rFonts w:cs="Tahoma"/>
        </w:rPr>
        <w:t>а</w:t>
      </w:r>
      <w:r w:rsidRPr="00ED34A1">
        <w:rPr>
          <w:rFonts w:cs="Tahoma"/>
        </w:rPr>
        <w:t xml:space="preserve"> доступности объектов приоритетных сфер жизнедеятельности инвалидов и других маломобильных групп населения</w:t>
      </w:r>
      <w:r>
        <w:rPr>
          <w:rFonts w:cs="Tahoma"/>
        </w:rPr>
        <w:t xml:space="preserve"> в количестве 5 ед</w:t>
      </w:r>
      <w:r w:rsidR="003E3C6B">
        <w:rPr>
          <w:rFonts w:cs="Tahoma"/>
        </w:rPr>
        <w:t>иниц (БУ «Многофункциональный центр оказания государственных и муниципальных услуг», администрация города Югорска, здание детского сада «Радуга» по ул. Лунной, здание детской художественной школы по ул. Никольской, здание МБУДОД «Прометей»)</w:t>
      </w:r>
      <w:proofErr w:type="gramStart"/>
      <w:r w:rsidR="003E3C6B">
        <w:rPr>
          <w:rFonts w:cs="Tahoma"/>
        </w:rPr>
        <w:t>.</w:t>
      </w:r>
      <w:proofErr w:type="gramEnd"/>
      <w:r w:rsidR="003E3C6B">
        <w:rPr>
          <w:rFonts w:cs="Tahoma"/>
        </w:rPr>
        <w:t xml:space="preserve"> Кроме того, при подготовке плана </w:t>
      </w:r>
      <w:r w:rsidR="003E3C6B" w:rsidRPr="003E3C6B">
        <w:rPr>
          <w:rFonts w:cs="Tahoma"/>
        </w:rPr>
        <w:t>мероприятий («дорожной карты») «Повышение доступности приоритетных объектов и услуг в приоритетных сферах жизнедеятельности инвалидов и других маломобильных групп населения в городе Югорске на 2015-2020 годы»</w:t>
      </w:r>
      <w:r w:rsidR="003E3C6B">
        <w:rPr>
          <w:rFonts w:cs="Tahoma"/>
        </w:rPr>
        <w:t xml:space="preserve"> проведено обследование объектов, находящихся в муниципальной собственности, на </w:t>
      </w:r>
      <w:r w:rsidR="003E3C6B" w:rsidRPr="003E3C6B">
        <w:rPr>
          <w:rFonts w:cs="Tahoma"/>
        </w:rPr>
        <w:t>соответствие требованиям доступности для инвалидов, с обязательным привлечением общественных организаций инвалидов</w:t>
      </w:r>
      <w:r w:rsidR="003E3C6B">
        <w:rPr>
          <w:rFonts w:cs="Tahoma"/>
        </w:rPr>
        <w:t>, органов социальной защиты населения</w:t>
      </w:r>
      <w:proofErr w:type="gramStart"/>
      <w:r w:rsidR="003E3C6B">
        <w:rPr>
          <w:rFonts w:cs="Tahoma"/>
        </w:rPr>
        <w:t>.</w:t>
      </w:r>
      <w:proofErr w:type="gramEnd"/>
      <w:r w:rsidR="003E3C6B">
        <w:rPr>
          <w:rFonts w:cs="Tahoma"/>
        </w:rPr>
        <w:t xml:space="preserve"> По результатам проведенного обследования актуализированы паспорта доступности объектов социальной инфраструктуры: учреждений образования, культуры, физической культуры и спорта, объектов по предоставлению государственных и муниципальных услуг.  </w:t>
      </w:r>
    </w:p>
    <w:p w:rsidR="00ED34A1" w:rsidRDefault="00ED34A1" w:rsidP="00ED34A1">
      <w:pPr>
        <w:ind w:firstLine="851"/>
        <w:jc w:val="both"/>
      </w:pPr>
      <w:r w:rsidRPr="005F6BB6">
        <w:t>Сформирован перечень социальных объектов в приоритетных сферах жизнедеятельности  инвалидов и других маломобильных групп населения города Югорска</w:t>
      </w:r>
      <w:r>
        <w:t>, в который вошли 38 объектов в сфере образования, здравоохранения, социальной защиты, культуры, физической культуры и спорта, общественного питания и торговли, финансовых и других социальных  услуг.</w:t>
      </w:r>
    </w:p>
    <w:p w:rsidR="009676E3" w:rsidRPr="005F6BB6" w:rsidRDefault="009676E3" w:rsidP="00ED34A1">
      <w:pPr>
        <w:ind w:firstLine="851"/>
        <w:jc w:val="both"/>
      </w:pPr>
      <w:r>
        <w:t>Сформирован Реестр объектов социальной инфраструктуры города Югорска, информация размещена на сайте администрации города Югорска.</w:t>
      </w:r>
    </w:p>
    <w:p w:rsidR="00ED34A1" w:rsidRDefault="00ED34A1" w:rsidP="00ED34A1">
      <w:pPr>
        <w:tabs>
          <w:tab w:val="left" w:pos="1211"/>
        </w:tabs>
        <w:ind w:firstLine="870"/>
        <w:jc w:val="both"/>
      </w:pPr>
      <w:r>
        <w:t xml:space="preserve">Всего на выполнение мероприятий  </w:t>
      </w:r>
      <w:r w:rsidRPr="008F125B">
        <w:rPr>
          <w:b/>
        </w:rPr>
        <w:t>задачи 1 Программы</w:t>
      </w:r>
      <w:r>
        <w:t xml:space="preserve"> в 201</w:t>
      </w:r>
      <w:r w:rsidR="009676E3">
        <w:t>5</w:t>
      </w:r>
      <w:r>
        <w:t xml:space="preserve"> году </w:t>
      </w:r>
      <w:r w:rsidR="009676E3">
        <w:t>финансовые средства не планировались</w:t>
      </w:r>
      <w:r>
        <w:t xml:space="preserve">, </w:t>
      </w:r>
      <w:r w:rsidR="009676E3">
        <w:t>расходы не производились.</w:t>
      </w:r>
    </w:p>
    <w:p w:rsidR="00ED34A1" w:rsidRDefault="00ED34A1" w:rsidP="00ED34A1">
      <w:pPr>
        <w:ind w:firstLine="555"/>
        <w:jc w:val="both"/>
      </w:pP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FA16E7">
        <w:rPr>
          <w:rFonts w:cs="Tahoma"/>
          <w:b/>
        </w:rPr>
        <w:lastRenderedPageBreak/>
        <w:t>Выполнение   задачи</w:t>
      </w:r>
      <w:r>
        <w:rPr>
          <w:rFonts w:cs="Tahoma"/>
          <w:b/>
        </w:rPr>
        <w:t xml:space="preserve"> </w:t>
      </w:r>
      <w:r w:rsidR="0032547F">
        <w:rPr>
          <w:rFonts w:cs="Tahoma"/>
          <w:b/>
        </w:rPr>
        <w:t>2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</w:t>
      </w:r>
      <w:r>
        <w:t xml:space="preserve"> </w:t>
      </w:r>
      <w:r>
        <w:rPr>
          <w:rFonts w:cs="Tahoma"/>
        </w:rPr>
        <w:t xml:space="preserve"> осуществлялось по следующим направлениям:</w:t>
      </w:r>
    </w:p>
    <w:p w:rsidR="00C6234F" w:rsidRPr="00C6234F" w:rsidRDefault="00C6234F" w:rsidP="00C6234F">
      <w:pPr>
        <w:pStyle w:val="aa"/>
        <w:spacing w:line="240" w:lineRule="auto"/>
        <w:ind w:firstLine="851"/>
        <w:jc w:val="both"/>
        <w:rPr>
          <w:color w:val="000000"/>
        </w:rPr>
      </w:pPr>
      <w:r w:rsidRPr="00C6234F">
        <w:rPr>
          <w:color w:val="000000"/>
        </w:rPr>
        <w:t xml:space="preserve">В рамках реализации муниципальной программы «Доступная среда в г. Югорске на 2015 - 2020 г.» продолжилось формирование  наращивание фонда информационных электронных ресурсов. На сумму 20 000 рублей в документный фонд библиотек системы,  приобретен комплект изданий на современных носителях информации  для обеспечения  доступа к электронным базам данных и расширения видео – состава фонда в количестве 106 экземпляров. </w:t>
      </w:r>
    </w:p>
    <w:p w:rsidR="00C6234F" w:rsidRPr="00C6234F" w:rsidRDefault="00C6234F" w:rsidP="00C6234F">
      <w:pPr>
        <w:pStyle w:val="aa"/>
        <w:spacing w:line="240" w:lineRule="auto"/>
        <w:ind w:firstLine="851"/>
        <w:jc w:val="both"/>
        <w:rPr>
          <w:color w:val="000000"/>
        </w:rPr>
      </w:pPr>
      <w:r w:rsidRPr="00C6234F">
        <w:rPr>
          <w:color w:val="000000"/>
        </w:rPr>
        <w:t xml:space="preserve"> Библиотечный фонд комплектуется с учетом интересом маломобильных групп населения. Всего фонд для людей с ограниченными возможностями  составляет 821 документов, в том числе количество электронных изданий – 615 единиц. Для детей предоставляются сказки, для взрослых современная, зарубежная и классическая, научно-познавательная, литература. В фонде центральной городской библиотеки имеется ежемесячный литературно-художественный журнал для слепых «Литературное чтение» с использованием шрифта Брайля (повести, рассказы российских авторов). Центральная городская библиотека выписывает 3 наименования периодических изданий: Русский инвалид: ежемесячная газета. - 2013-2015 </w:t>
      </w:r>
      <w:proofErr w:type="spellStart"/>
      <w:proofErr w:type="gramStart"/>
      <w:r w:rsidRPr="00C6234F">
        <w:rPr>
          <w:color w:val="000000"/>
        </w:rPr>
        <w:t>гг</w:t>
      </w:r>
      <w:proofErr w:type="spellEnd"/>
      <w:proofErr w:type="gramEnd"/>
      <w:r w:rsidRPr="00C6234F">
        <w:rPr>
          <w:color w:val="000000"/>
        </w:rPr>
        <w:t>; Наша жизнь: ежемесячный журнал. - 2013-2015; Пенсионер: ежемесячная газета. - 2012-2015гг.</w:t>
      </w:r>
    </w:p>
    <w:p w:rsidR="00C6234F" w:rsidRDefault="00C6234F" w:rsidP="00C6234F">
      <w:pPr>
        <w:pStyle w:val="aa"/>
        <w:spacing w:line="240" w:lineRule="auto"/>
        <w:ind w:firstLine="851"/>
        <w:jc w:val="both"/>
        <w:rPr>
          <w:color w:val="000000"/>
        </w:rPr>
      </w:pPr>
      <w:r w:rsidRPr="00C6234F">
        <w:rPr>
          <w:color w:val="000000"/>
        </w:rPr>
        <w:t xml:space="preserve"> Всего в учреждении организовано 3 рабочих автоматизированных места для инвалидов. На компьютерах установлена программа  JWAS для людей с ограничением зрения, которая позволяет работать в сети Интернет без помощи зрения. Все происходящее на экране компьютера передается при помощи речи. Данной услугой могут пользоваться инвалиды колясочники, инвалиды с нарушением зрения и слуха.</w:t>
      </w:r>
      <w:r w:rsidRPr="00C6234F">
        <w:rPr>
          <w:color w:val="000000"/>
        </w:rPr>
        <w:t xml:space="preserve"> </w:t>
      </w:r>
    </w:p>
    <w:p w:rsidR="009676E3" w:rsidRPr="009676E3" w:rsidRDefault="00E266CF" w:rsidP="00C6234F">
      <w:pPr>
        <w:pStyle w:val="aa"/>
        <w:spacing w:line="240" w:lineRule="auto"/>
        <w:ind w:firstLine="851"/>
        <w:jc w:val="both"/>
        <w:rPr>
          <w:color w:val="000000"/>
        </w:rPr>
      </w:pPr>
      <w:r w:rsidRPr="00E266CF">
        <w:rPr>
          <w:color w:val="000000"/>
        </w:rPr>
        <w:t xml:space="preserve">С целью </w:t>
      </w:r>
      <w:proofErr w:type="gramStart"/>
      <w:r w:rsidRPr="00E266CF">
        <w:rPr>
          <w:color w:val="000000"/>
        </w:rPr>
        <w:t>создания условий формирования адекватного выбора будущей профессии</w:t>
      </w:r>
      <w:proofErr w:type="gramEnd"/>
      <w:r w:rsidRPr="00E266CF">
        <w:rPr>
          <w:color w:val="000000"/>
        </w:rPr>
        <w:t xml:space="preserve"> детьми-инвалидами с учетом их психофизического развития и индивидуальных возможностей </w:t>
      </w:r>
      <w:r>
        <w:rPr>
          <w:color w:val="000000"/>
        </w:rPr>
        <w:t>о</w:t>
      </w:r>
      <w:r w:rsidR="009676E3" w:rsidRPr="009676E3">
        <w:rPr>
          <w:color w:val="000000"/>
        </w:rPr>
        <w:t xml:space="preserve">рганизована </w:t>
      </w:r>
      <w:proofErr w:type="spellStart"/>
      <w:r w:rsidR="009676E3" w:rsidRPr="009676E3">
        <w:rPr>
          <w:color w:val="000000"/>
        </w:rPr>
        <w:t>профориентационная</w:t>
      </w:r>
      <w:proofErr w:type="spellEnd"/>
      <w:r w:rsidR="009676E3" w:rsidRPr="009676E3">
        <w:rPr>
          <w:color w:val="000000"/>
        </w:rPr>
        <w:t xml:space="preserve"> работа с детьми – инвалидами и детьми с ограниченными возможностями здоровья в общеобразовательных учреждениях.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 xml:space="preserve">Общеобразовательными учреждениями, МБОУ ДОД детско-юношеский центр «Прометей», МКУ «Городской методический центр», БУ ХМАО-Югры «Югорская городская больница», МАУ «Молодежный центр «Гелиос», МБУ «Централизованная библиотечная система г. Югорска»: 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1. Размещена на сайтах учреждений информация о перечне профориентационных услуг для учащихся с ОВЗ, детей-инвалидов.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2. Общеобразовательными учреждениями разработаны меры по информированию родителей (законных представителей) о предоставлении профориентационных услуг для учащихся с ОВЗ, детей-инвалидов и других групп.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Управлением образования: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 xml:space="preserve">1. Изучена методическая, материально – техническая, кадровая база общеобразовательных учреждений по предоставлению профориентационных услуг для детей с ОВЗ и детей-инвалидов. 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 xml:space="preserve">2. Сформирована сводная информационная карта о предоставлении профориентационных услуг для учащихся с ОВЗ, детей-инвалидов и других групп, предоставлена в общеобразовательные учреждения. Информационная карта размещена на сайте Управления образования и в общеобразовательных учреждениях. 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3. Формируется информационная карта по предоставлению  услуг  учреждениями среднего профессионального образования для детей с ОВЗ и дете</w:t>
      </w:r>
      <w:proofErr w:type="gramStart"/>
      <w:r w:rsidRPr="009676E3">
        <w:rPr>
          <w:color w:val="000000"/>
        </w:rPr>
        <w:t>й-</w:t>
      </w:r>
      <w:proofErr w:type="gramEnd"/>
      <w:r w:rsidRPr="009676E3">
        <w:rPr>
          <w:color w:val="000000"/>
        </w:rPr>
        <w:t xml:space="preserve"> инвалидов. Представлена информация  БУ СПО ХМАО-Югры «Югорский политехнический колледж», БУ СПО «Советский политехнический колледж».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proofErr w:type="gramStart"/>
      <w:r w:rsidRPr="009676E3">
        <w:rPr>
          <w:color w:val="000000"/>
        </w:rPr>
        <w:t>По запросу Управления образования городским методическим центром и ДЮЦ «Прометей» организованы и проведены семинары для педагогов, осуществляющих образовательную и культурно-досуговую деятельность с детьми с ОВЗ и детьми-</w:t>
      </w:r>
      <w:r w:rsidRPr="009676E3">
        <w:rPr>
          <w:color w:val="000000"/>
        </w:rPr>
        <w:lastRenderedPageBreak/>
        <w:t xml:space="preserve">инвалидами по вопросам: проблемы интеграции детей с ограниченными возможностями здоровья в социуме, в коллектив здоровых сверстников, подходы к профориентации и </w:t>
      </w:r>
      <w:proofErr w:type="spellStart"/>
      <w:r w:rsidRPr="009676E3">
        <w:rPr>
          <w:color w:val="000000"/>
        </w:rPr>
        <w:t>профконсультированию</w:t>
      </w:r>
      <w:proofErr w:type="spellEnd"/>
      <w:r w:rsidRPr="009676E3">
        <w:rPr>
          <w:color w:val="000000"/>
        </w:rPr>
        <w:t xml:space="preserve"> детей с ОВЗ, личностные качества педагога, работающего с детьми с ОВЗ и детьми-инвалидами</w:t>
      </w:r>
      <w:proofErr w:type="gramEnd"/>
      <w:r w:rsidRPr="009676E3">
        <w:rPr>
          <w:color w:val="000000"/>
        </w:rPr>
        <w:t xml:space="preserve">, предоставление слабослышащим людям возможности нормального общения и полноценного, неограниченного взаимодействия в окружающем мире. В семинарах приняли участие 39 участников, в том числе: педагоги-психологи общеобразовательных учреждений, специалисты ДЮЦ «Прометей», реабилитационного центра для детей и подростков с ограниченными возможностями «Солнышко», </w:t>
      </w:r>
      <w:proofErr w:type="spellStart"/>
      <w:r w:rsidRPr="009676E3">
        <w:rPr>
          <w:color w:val="000000"/>
        </w:rPr>
        <w:t>сурдопереводчик</w:t>
      </w:r>
      <w:proofErr w:type="spellEnd"/>
      <w:r w:rsidRPr="009676E3">
        <w:rPr>
          <w:color w:val="000000"/>
        </w:rPr>
        <w:t xml:space="preserve">, обучающиеся ДЮЦ «Прометей».  </w:t>
      </w:r>
    </w:p>
    <w:p w:rsidR="009676E3" w:rsidRPr="009676E3" w:rsidRDefault="00E266CF" w:rsidP="009676E3">
      <w:pPr>
        <w:pStyle w:val="aa"/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С целью повышения реабилитационных услуг и социальной адаптации детей </w:t>
      </w:r>
      <w:proofErr w:type="gramStart"/>
      <w:r>
        <w:rPr>
          <w:color w:val="000000"/>
        </w:rPr>
        <w:t>–и</w:t>
      </w:r>
      <w:proofErr w:type="gramEnd"/>
      <w:r>
        <w:rPr>
          <w:color w:val="000000"/>
        </w:rPr>
        <w:t>нвалидов н</w:t>
      </w:r>
      <w:r w:rsidR="009676E3" w:rsidRPr="009676E3">
        <w:rPr>
          <w:color w:val="000000"/>
        </w:rPr>
        <w:t xml:space="preserve">а базе муниципального бюджетного общеобразовательного учреждения «Лицей им. Г.Ф. </w:t>
      </w:r>
      <w:proofErr w:type="spellStart"/>
      <w:r w:rsidR="009676E3" w:rsidRPr="009676E3">
        <w:rPr>
          <w:color w:val="000000"/>
        </w:rPr>
        <w:t>Атякшева</w:t>
      </w:r>
      <w:proofErr w:type="spellEnd"/>
      <w:r w:rsidR="009676E3" w:rsidRPr="009676E3">
        <w:rPr>
          <w:color w:val="000000"/>
        </w:rPr>
        <w:t>» организовано дистанционное обучение для детей инвалидов.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 xml:space="preserve">Количество детей инвалидов, обучающихся дистанционно – 2 чел. (1 человек – 2 </w:t>
      </w:r>
      <w:proofErr w:type="spellStart"/>
      <w:r w:rsidRPr="009676E3">
        <w:rPr>
          <w:color w:val="000000"/>
        </w:rPr>
        <w:t>кл</w:t>
      </w:r>
      <w:proofErr w:type="spellEnd"/>
      <w:r w:rsidRPr="009676E3">
        <w:rPr>
          <w:color w:val="000000"/>
        </w:rPr>
        <w:t xml:space="preserve">., 1 человек - 8 </w:t>
      </w:r>
      <w:proofErr w:type="spellStart"/>
      <w:r w:rsidRPr="009676E3">
        <w:rPr>
          <w:color w:val="000000"/>
        </w:rPr>
        <w:t>кл</w:t>
      </w:r>
      <w:proofErr w:type="spellEnd"/>
      <w:r w:rsidRPr="009676E3">
        <w:rPr>
          <w:color w:val="000000"/>
        </w:rPr>
        <w:t xml:space="preserve">.). 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 xml:space="preserve">Количество комплектов дистанционного оборудования для детей-инвалидов - 6. 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Количество комплектов дистанционного оборудования для педагогов, осуществляющих обучение на дому детей-инвалидов с использованием дистанционных технологий - 7.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 xml:space="preserve">Организовано сотрудничество  с дистанционной системой «Телешкола». 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Доля детей-инвалидов, обучающихся дистанционно от общего количества детей-инвалидов</w:t>
      </w:r>
      <w:r w:rsidR="00B66633">
        <w:rPr>
          <w:color w:val="000000"/>
        </w:rPr>
        <w:t xml:space="preserve">, </w:t>
      </w:r>
      <w:r w:rsidRPr="009676E3">
        <w:rPr>
          <w:color w:val="000000"/>
        </w:rPr>
        <w:t xml:space="preserve"> составляет 5,2%.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Организована деятельность муниципального бюджетного общеобразовательного учреждения «Гимназия» как базового образовательного учреждения, реализующего основные общеобразовательные программы, обеспечивающие совместное обучение детей с ОВЗ и лиц, не имеющих нарушений развития.</w:t>
      </w:r>
    </w:p>
    <w:p w:rsidR="009676E3" w:rsidRPr="009676E3" w:rsidRDefault="00B66633" w:rsidP="009676E3">
      <w:pPr>
        <w:pStyle w:val="aa"/>
        <w:spacing w:line="240" w:lineRule="auto"/>
        <w:ind w:firstLine="851"/>
        <w:jc w:val="both"/>
        <w:rPr>
          <w:color w:val="000000"/>
        </w:rPr>
      </w:pPr>
      <w:r>
        <w:rPr>
          <w:color w:val="000000"/>
        </w:rPr>
        <w:t>С целью о</w:t>
      </w:r>
      <w:r w:rsidRPr="00B66633">
        <w:rPr>
          <w:color w:val="000000"/>
        </w:rPr>
        <w:t>снащени</w:t>
      </w:r>
      <w:r>
        <w:rPr>
          <w:color w:val="000000"/>
        </w:rPr>
        <w:t>я</w:t>
      </w:r>
      <w:r w:rsidRPr="00B66633">
        <w:rPr>
          <w:color w:val="000000"/>
        </w:rPr>
        <w:t xml:space="preserve"> образовательных учреждений современным специальным, в том числе реабилитационным, учебным, компьютерным оборудованием для создания универсальной </w:t>
      </w:r>
      <w:proofErr w:type="spellStart"/>
      <w:r w:rsidRPr="00B66633">
        <w:rPr>
          <w:color w:val="000000"/>
        </w:rPr>
        <w:t>безбаръерной</w:t>
      </w:r>
      <w:proofErr w:type="spellEnd"/>
      <w:r w:rsidRPr="00B66633">
        <w:rPr>
          <w:color w:val="000000"/>
        </w:rPr>
        <w:t xml:space="preserve"> среды, позволяющей обеспечить полноценную интеграцию детей-инвалидов с обществом </w:t>
      </w:r>
      <w:r>
        <w:rPr>
          <w:color w:val="000000"/>
        </w:rPr>
        <w:t>п</w:t>
      </w:r>
      <w:r w:rsidR="009676E3" w:rsidRPr="009676E3">
        <w:rPr>
          <w:color w:val="000000"/>
        </w:rPr>
        <w:t>риобретен комплект специализированной учебной мебели для детей-инвалидов с нарушением опорн</w:t>
      </w:r>
      <w:proofErr w:type="gramStart"/>
      <w:r w:rsidR="009676E3" w:rsidRPr="009676E3">
        <w:rPr>
          <w:color w:val="000000"/>
        </w:rPr>
        <w:t>о-</w:t>
      </w:r>
      <w:proofErr w:type="gramEnd"/>
      <w:r w:rsidR="009676E3" w:rsidRPr="009676E3">
        <w:rPr>
          <w:color w:val="000000"/>
        </w:rPr>
        <w:t xml:space="preserve"> двигательного аппарата </w:t>
      </w:r>
      <w:r>
        <w:rPr>
          <w:color w:val="000000"/>
        </w:rPr>
        <w:t xml:space="preserve">в </w:t>
      </w:r>
      <w:r w:rsidR="009676E3" w:rsidRPr="009676E3">
        <w:rPr>
          <w:color w:val="000000"/>
        </w:rPr>
        <w:t xml:space="preserve"> МБОУ "Гимназия".</w:t>
      </w:r>
      <w:r>
        <w:rPr>
          <w:color w:val="000000"/>
        </w:rPr>
        <w:t xml:space="preserve"> </w:t>
      </w:r>
      <w:r w:rsidR="009676E3" w:rsidRPr="009676E3">
        <w:rPr>
          <w:color w:val="000000"/>
        </w:rPr>
        <w:t>В соответствии с приказом начальника Управления образования администрации города Югорска от 28.07.2015 № 449 «О приобретении специализированной учебной мебели» в МБОУ «Гимназия» приобретена студия для песочной терапии, которая включает: световой стол «Профессиональный» с подсветкой «</w:t>
      </w:r>
      <w:proofErr w:type="spellStart"/>
      <w:r w:rsidR="009676E3" w:rsidRPr="009676E3">
        <w:rPr>
          <w:color w:val="000000"/>
        </w:rPr>
        <w:t>Мультиколор</w:t>
      </w:r>
      <w:proofErr w:type="spellEnd"/>
      <w:r w:rsidR="009676E3" w:rsidRPr="009676E3">
        <w:rPr>
          <w:color w:val="000000"/>
        </w:rPr>
        <w:t xml:space="preserve">»; световой стол «Универсальный» с подсветкой (6 штук); </w:t>
      </w:r>
      <w:proofErr w:type="spellStart"/>
      <w:r w:rsidR="009676E3" w:rsidRPr="009676E3">
        <w:rPr>
          <w:color w:val="000000"/>
        </w:rPr>
        <w:t>вэб</w:t>
      </w:r>
      <w:proofErr w:type="spellEnd"/>
      <w:r w:rsidR="009676E3" w:rsidRPr="009676E3">
        <w:rPr>
          <w:color w:val="000000"/>
        </w:rPr>
        <w:t xml:space="preserve"> камера LOGITEGH, песок кварцевый и цветной для детского творчества.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Проведен</w:t>
      </w:r>
      <w:r w:rsidR="00B66633">
        <w:rPr>
          <w:color w:val="000000"/>
        </w:rPr>
        <w:t>ы мероприятия</w:t>
      </w:r>
      <w:r w:rsidRPr="009676E3">
        <w:rPr>
          <w:color w:val="000000"/>
        </w:rPr>
        <w:t xml:space="preserve"> по подготовке педагогов общеобразовательного учреждения для обучения детей-инвалидов: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- октябрь 2015 – курсы повышения квалификации  по теме: «Инновационные методы коррекционно-развивающей работы с детьми дошкольного возраста в рамках ДОУ» (прошли обучение 2 педагогических работника МБОУ «СОШ №5»);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- декабрь 2015 - курсы повышения квалификации  по теме: «Нормативно-методологические основания проектирования индивидуальных адаптированных программ для детей с ограниченными возможностями здоровья в условиях дошкольного образовательного учреждения» (прошли обучение 13 педагогических работников города).</w:t>
      </w:r>
    </w:p>
    <w:p w:rsidR="009676E3" w:rsidRPr="009676E3" w:rsidRDefault="009676E3" w:rsidP="009676E3">
      <w:pPr>
        <w:pStyle w:val="aa"/>
        <w:spacing w:line="240" w:lineRule="auto"/>
        <w:ind w:firstLine="851"/>
        <w:jc w:val="both"/>
        <w:rPr>
          <w:color w:val="000000"/>
        </w:rPr>
      </w:pPr>
      <w:r w:rsidRPr="009676E3">
        <w:rPr>
          <w:color w:val="000000"/>
        </w:rPr>
        <w:t>На базе муниципального бюджетного общеобразовательного учреждения «Гимназия» организована работа опорной площадки «Реализация инклюзивного образования для обеспечения равного доступа к образованию всем учащимся».</w:t>
      </w:r>
    </w:p>
    <w:p w:rsidR="001C130B" w:rsidRDefault="009676E3" w:rsidP="009676E3">
      <w:pPr>
        <w:pStyle w:val="aa"/>
        <w:spacing w:line="240" w:lineRule="auto"/>
        <w:ind w:firstLine="851"/>
        <w:jc w:val="both"/>
      </w:pPr>
      <w:r w:rsidRPr="009676E3">
        <w:rPr>
          <w:color w:val="000000"/>
        </w:rPr>
        <w:t xml:space="preserve">Количество </w:t>
      </w:r>
      <w:proofErr w:type="gramStart"/>
      <w:r w:rsidRPr="009676E3">
        <w:rPr>
          <w:color w:val="000000"/>
        </w:rPr>
        <w:t>педагогических работников, охваченных мероприятиями  по подготовке для обучения детей-инвалидов составило</w:t>
      </w:r>
      <w:proofErr w:type="gramEnd"/>
      <w:r w:rsidRPr="009676E3">
        <w:rPr>
          <w:color w:val="000000"/>
        </w:rPr>
        <w:t xml:space="preserve"> 40 человек (6% от общего количества педагогических работников).</w:t>
      </w:r>
      <w:r w:rsidRPr="009676E3">
        <w:rPr>
          <w:color w:val="000000"/>
        </w:rPr>
        <w:t xml:space="preserve"> </w:t>
      </w:r>
    </w:p>
    <w:p w:rsidR="00CE2232" w:rsidRDefault="00CE2232" w:rsidP="00CE2232">
      <w:pPr>
        <w:tabs>
          <w:tab w:val="left" w:pos="1211"/>
        </w:tabs>
        <w:ind w:firstLine="870"/>
        <w:jc w:val="both"/>
      </w:pPr>
      <w:r>
        <w:lastRenderedPageBreak/>
        <w:t xml:space="preserve">Всего на выполнение мероприятий  </w:t>
      </w:r>
      <w:r w:rsidRPr="008F125B">
        <w:rPr>
          <w:b/>
        </w:rPr>
        <w:t xml:space="preserve">задачи </w:t>
      </w:r>
      <w:r>
        <w:rPr>
          <w:b/>
        </w:rPr>
        <w:t>2</w:t>
      </w:r>
      <w:r w:rsidRPr="008F125B">
        <w:rPr>
          <w:b/>
        </w:rPr>
        <w:t xml:space="preserve"> Программы</w:t>
      </w:r>
      <w:r>
        <w:t xml:space="preserve"> в 201</w:t>
      </w:r>
      <w:r w:rsidR="00B66633">
        <w:t>5</w:t>
      </w:r>
      <w:r>
        <w:t xml:space="preserve"> году планировалось израсходовать </w:t>
      </w:r>
      <w:r w:rsidR="00B66633">
        <w:t>70</w:t>
      </w:r>
      <w:r>
        <w:t xml:space="preserve">,0 тыс. рублей, фактическая сумма расходов составила </w:t>
      </w:r>
      <w:r w:rsidR="00B66633">
        <w:t>70,0</w:t>
      </w:r>
      <w:r>
        <w:t xml:space="preserve"> тыс. рублей (</w:t>
      </w:r>
      <w:r w:rsidR="00B66633">
        <w:t>100</w:t>
      </w:r>
      <w:r>
        <w:t xml:space="preserve"> % от плана на год</w:t>
      </w:r>
      <w:r w:rsidR="00B66633">
        <w:t>).</w:t>
      </w:r>
    </w:p>
    <w:p w:rsidR="00CE2232" w:rsidRDefault="00CE2232" w:rsidP="00F13381">
      <w:pPr>
        <w:pStyle w:val="aa"/>
        <w:spacing w:line="240" w:lineRule="auto"/>
        <w:ind w:firstLine="851"/>
        <w:jc w:val="both"/>
      </w:pPr>
    </w:p>
    <w:p w:rsidR="0032547F" w:rsidRDefault="0032547F" w:rsidP="0032547F">
      <w:pPr>
        <w:tabs>
          <w:tab w:val="left" w:pos="1211"/>
        </w:tabs>
        <w:ind w:firstLine="870"/>
        <w:jc w:val="both"/>
        <w:rPr>
          <w:rFonts w:cs="Tahoma"/>
        </w:rPr>
      </w:pPr>
      <w:r w:rsidRPr="0032547F">
        <w:rPr>
          <w:rFonts w:cs="Tahoma"/>
        </w:rPr>
        <w:t xml:space="preserve">Выполнение </w:t>
      </w:r>
      <w:r w:rsidRPr="00FA16E7">
        <w:rPr>
          <w:rFonts w:cs="Tahoma"/>
          <w:b/>
        </w:rPr>
        <w:t xml:space="preserve">  задачи</w:t>
      </w:r>
      <w:r>
        <w:rPr>
          <w:rFonts w:cs="Tahoma"/>
          <w:b/>
        </w:rPr>
        <w:t xml:space="preserve"> 3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</w:t>
      </w:r>
      <w:r>
        <w:t xml:space="preserve"> </w:t>
      </w:r>
      <w:r>
        <w:rPr>
          <w:rFonts w:cs="Tahoma"/>
        </w:rPr>
        <w:t xml:space="preserve"> осуществлялось по следующим направлениям:</w:t>
      </w:r>
    </w:p>
    <w:p w:rsidR="00C6234F" w:rsidRDefault="00C6234F" w:rsidP="00C6234F">
      <w:pPr>
        <w:ind w:firstLine="851"/>
        <w:jc w:val="both"/>
      </w:pPr>
      <w:r>
        <w:t xml:space="preserve">Издания социальной адаптации людей с ограниченными возможностями пополнили разделы фонда по всем отраслям знаний: </w:t>
      </w:r>
      <w:proofErr w:type="spellStart"/>
      <w:r>
        <w:t>аудиокурсы</w:t>
      </w:r>
      <w:proofErr w:type="spellEnd"/>
      <w:r>
        <w:t xml:space="preserve"> по развитию речи, психологические тренинги по воспитанию детей, возрастных особенностей ребенка, умению разрешать конфликты; </w:t>
      </w:r>
      <w:proofErr w:type="spellStart"/>
      <w:proofErr w:type="gramStart"/>
      <w:r>
        <w:t>аудиотренинги</w:t>
      </w:r>
      <w:proofErr w:type="spellEnd"/>
      <w:r>
        <w:t xml:space="preserve"> по оздоровлению организма, обзорные издания посвященные культурам народов населяющих Россию, природных зон Российской Федерации: наземной и пресноводной фауне, серия  изданий «Школьная библиотека» по творчеству писателей отечественной и зарубежной классики, былины и популярные русские волшебные сказки. </w:t>
      </w:r>
      <w:proofErr w:type="gramEnd"/>
    </w:p>
    <w:p w:rsidR="00C6234F" w:rsidRDefault="00C6234F" w:rsidP="00C6234F">
      <w:pPr>
        <w:ind w:firstLine="851"/>
        <w:jc w:val="both"/>
      </w:pPr>
      <w:r>
        <w:t xml:space="preserve"> Одним из наиболее актуальных и востребованных направлений социальной работы с инвалидами и маломобильными группами населения в муниципальных библиотеках ЦБС является социокультурная реабилитация, </w:t>
      </w:r>
      <w:proofErr w:type="spellStart"/>
      <w:r>
        <w:t>библиотерапия</w:t>
      </w:r>
      <w:proofErr w:type="spellEnd"/>
      <w:r>
        <w:t>, предоставление спектра услуг и создание необходимых условий безбарьерной среды общения. Библиотеки используют  в работе различные методы индивидуальной и культурно-досуговой работы.</w:t>
      </w:r>
    </w:p>
    <w:p w:rsidR="00C6234F" w:rsidRDefault="00C6234F" w:rsidP="00C6234F">
      <w:pPr>
        <w:ind w:firstLine="851"/>
        <w:jc w:val="both"/>
      </w:pPr>
      <w:r>
        <w:t>В рамках  организации мероприятий осуществляется  социальное взаимодействие с учреждениями занимающимися проблемами людей с ограниченными возможностями: реабилитационным центром для детей с ограниченными возможностями здоровья «Солнышко», учреждениями центра «Сфера», Общественной организацией инвалидов г. Югорска, домом инвалидов «</w:t>
      </w:r>
      <w:proofErr w:type="spellStart"/>
      <w:r>
        <w:t>Дарина</w:t>
      </w:r>
      <w:proofErr w:type="spellEnd"/>
      <w:r>
        <w:t>», Центром адаптивного спорта (ФСК «Юность»). Творческие коллективы учреждения принимают участие в торжественных церемониях открытия и награждения в рамках проводимых спортивных мероприятий различного уровня для лиц с ОВЗ. На базе коллективов «Югра-</w:t>
      </w:r>
      <w:proofErr w:type="spellStart"/>
      <w:r>
        <w:t>лэнд</w:t>
      </w:r>
      <w:proofErr w:type="spellEnd"/>
      <w:r>
        <w:t xml:space="preserve">» и «Страна чудес»  реализуется цикл мастер-классов по цирковому искусству для детей-инвалидов.  </w:t>
      </w:r>
    </w:p>
    <w:p w:rsidR="00C6234F" w:rsidRDefault="00C6234F" w:rsidP="00C6234F">
      <w:pPr>
        <w:ind w:firstLine="851"/>
        <w:jc w:val="both"/>
      </w:pPr>
      <w:r>
        <w:t>В клубных формированиях имеют возможность заниматься наряду со здоровыми и люди с ограниченными возможностями по таким направлениям как вокальное, хоровое пение,  театральное искусство.</w:t>
      </w:r>
    </w:p>
    <w:p w:rsidR="00C6234F" w:rsidRDefault="00C6234F" w:rsidP="00C6234F">
      <w:pPr>
        <w:ind w:firstLine="851"/>
        <w:jc w:val="both"/>
      </w:pPr>
      <w:r>
        <w:t>В учреждениях разработан и утвержден Порядок, определяющий свободное посещение лиц с ограниченными возможностями здоровья занятий клубных формирований и проводимых платных мероприятий.</w:t>
      </w:r>
    </w:p>
    <w:p w:rsidR="00BA21ED" w:rsidRDefault="00D7388C" w:rsidP="00BA21ED">
      <w:pPr>
        <w:ind w:firstLine="851"/>
        <w:jc w:val="both"/>
      </w:pPr>
      <w:r w:rsidRPr="00056D07">
        <w:t>В течение года проведены мероприятия в сфере культуры, направленные на социальную адаптацию инвалидов</w:t>
      </w:r>
      <w:r w:rsidR="00BA21ED" w:rsidRPr="00056D07">
        <w:t xml:space="preserve">: </w:t>
      </w:r>
      <w:r w:rsidR="00FB2404" w:rsidRPr="00FB2404">
        <w:t>количество мероприятий для лиц с ограниченными возможностями здоровья составило 75 с охватом 3 090 человек</w:t>
      </w:r>
      <w:r w:rsidR="00FB2404">
        <w:t>.</w:t>
      </w:r>
      <w:r w:rsidR="00FB2404" w:rsidRPr="00FB2404">
        <w:t xml:space="preserve"> </w:t>
      </w:r>
      <w:r w:rsidR="00BA21ED" w:rsidRPr="00056D07">
        <w:t xml:space="preserve"> </w:t>
      </w:r>
    </w:p>
    <w:p w:rsidR="00477F0A" w:rsidRDefault="00477F0A" w:rsidP="00477F0A">
      <w:pPr>
        <w:ind w:firstLine="851"/>
        <w:jc w:val="both"/>
      </w:pPr>
      <w:r>
        <w:t>В городе Югорске систематически занимаются физической культурой и спортом и принимают участие в соревнованиях порядка 250 человек с ограниченными физическими возможностями (24,7% от общего количества инвалидов в городе). Тренировочные занятия согласно расписанию проводятся:</w:t>
      </w:r>
    </w:p>
    <w:p w:rsidR="00477F0A" w:rsidRDefault="00477F0A" w:rsidP="00477F0A">
      <w:pPr>
        <w:ind w:firstLine="851"/>
        <w:jc w:val="both"/>
      </w:pPr>
      <w:r>
        <w:t xml:space="preserve">-  в большом игровом зале, </w:t>
      </w:r>
      <w:proofErr w:type="spellStart"/>
      <w:r>
        <w:t>кардиотренажерном</w:t>
      </w:r>
      <w:proofErr w:type="spellEnd"/>
      <w:r>
        <w:t xml:space="preserve"> зале, тренажерном зале здания БУ ХМАО-Югры «Центр адаптивного спорта» отдела в </w:t>
      </w:r>
      <w:proofErr w:type="spellStart"/>
      <w:r>
        <w:t>г</w:t>
      </w:r>
      <w:proofErr w:type="gramStart"/>
      <w:r>
        <w:t>.Ю</w:t>
      </w:r>
      <w:proofErr w:type="gramEnd"/>
      <w:r>
        <w:t>горске</w:t>
      </w:r>
      <w:proofErr w:type="spellEnd"/>
      <w:r>
        <w:t xml:space="preserve">; </w:t>
      </w:r>
    </w:p>
    <w:p w:rsidR="00477F0A" w:rsidRDefault="00477F0A" w:rsidP="00477F0A">
      <w:pPr>
        <w:ind w:firstLine="851"/>
        <w:jc w:val="both"/>
      </w:pPr>
      <w:r>
        <w:t>- в тренажерном и спортивном зале муниципального бюджетного учреждения дополнительного образования детей специализированная детско-юношеская спортивная школа олимпийского резерва «Смена»;</w:t>
      </w:r>
    </w:p>
    <w:p w:rsidR="00477F0A" w:rsidRDefault="00477F0A" w:rsidP="00477F0A">
      <w:pPr>
        <w:ind w:firstLine="851"/>
        <w:jc w:val="both"/>
      </w:pPr>
      <w:r>
        <w:t xml:space="preserve">- в плавательном бассейне Дворца спорта «Юбилейный» ООО «Газпром </w:t>
      </w:r>
      <w:proofErr w:type="spellStart"/>
      <w:r>
        <w:t>трансгаз</w:t>
      </w:r>
      <w:proofErr w:type="spellEnd"/>
      <w:r>
        <w:t xml:space="preserve"> Югорск»;</w:t>
      </w:r>
    </w:p>
    <w:p w:rsidR="00477F0A" w:rsidRDefault="00477F0A" w:rsidP="00477F0A">
      <w:pPr>
        <w:ind w:firstLine="851"/>
        <w:jc w:val="both"/>
      </w:pPr>
      <w:r>
        <w:t>- в социально-реабилитационном отделении граждан пожилого возраста и инвалидов, учреждения Ханты-Мансийского автономного округа-Югры «Комплексный центр социального обслуживания «Сфера»;</w:t>
      </w:r>
    </w:p>
    <w:p w:rsidR="00477F0A" w:rsidRDefault="00477F0A" w:rsidP="00477F0A">
      <w:pPr>
        <w:ind w:firstLine="851"/>
        <w:jc w:val="both"/>
      </w:pPr>
      <w:r>
        <w:lastRenderedPageBreak/>
        <w:t>- в реабилитационном центре для детей и подростков с ограниченными физическими возможностями «Солнышко»;</w:t>
      </w:r>
    </w:p>
    <w:p w:rsidR="00477F0A" w:rsidRDefault="00477F0A" w:rsidP="00477F0A">
      <w:pPr>
        <w:ind w:firstLine="851"/>
        <w:jc w:val="both"/>
      </w:pPr>
      <w:r>
        <w:t>- в спортивном зале 4 пожарной части  9 ОФПС по ХМАО-Югре;</w:t>
      </w:r>
    </w:p>
    <w:p w:rsidR="00477F0A" w:rsidRDefault="00477F0A" w:rsidP="00477F0A">
      <w:pPr>
        <w:ind w:firstLine="851"/>
        <w:jc w:val="both"/>
      </w:pPr>
      <w:r>
        <w:t>- на стадионе УСБ КСК «Норд», ул. Гастелло, 69 (кроме зимнего периода).</w:t>
      </w:r>
    </w:p>
    <w:p w:rsidR="00477F0A" w:rsidRDefault="00477F0A" w:rsidP="00477F0A">
      <w:pPr>
        <w:ind w:firstLine="851"/>
        <w:jc w:val="both"/>
      </w:pPr>
      <w:r>
        <w:t xml:space="preserve"> </w:t>
      </w:r>
      <w:r>
        <w:t>В 2011 году в МБУ ДОД СДЮСШОР «Смена»  открыто отделение по адаптивному спорту в г</w:t>
      </w:r>
      <w:r>
        <w:t xml:space="preserve">ороде </w:t>
      </w:r>
      <w:r>
        <w:t xml:space="preserve">Югорске, и на сегодняшний день работает 1 тренер </w:t>
      </w:r>
      <w:proofErr w:type="gramStart"/>
      <w:r>
        <w:t>–п</w:t>
      </w:r>
      <w:proofErr w:type="gramEnd"/>
      <w:r>
        <w:t>реподаватель по адаптивному спорту.</w:t>
      </w:r>
    </w:p>
    <w:p w:rsidR="00477F0A" w:rsidRDefault="00477F0A" w:rsidP="00477F0A">
      <w:pPr>
        <w:ind w:firstLine="851"/>
        <w:jc w:val="both"/>
      </w:pPr>
      <w:r>
        <w:t>В отделе по развитию адаптивного спорта в городе Югорске бюджетного учреждения Ханты-Мансийского автономного округа - Югры «Центр адаптивного спорта» работают 5 штатных тренеров и 3 тренера по совместительству, развивается 8 видов спорта (</w:t>
      </w:r>
      <w:proofErr w:type="gramStart"/>
      <w:r>
        <w:t>волейбол</w:t>
      </w:r>
      <w:proofErr w:type="gramEnd"/>
      <w:r>
        <w:t xml:space="preserve"> сидя, лёгкая атлетика, пауэрлифтинг, игра </w:t>
      </w:r>
      <w:proofErr w:type="spellStart"/>
      <w:r>
        <w:t>бочча</w:t>
      </w:r>
      <w:proofErr w:type="spellEnd"/>
      <w:r>
        <w:t xml:space="preserve">, настольный теннис, плавание, настольные игры, фехтование).  Тренировочные занятия проводятся в большом игровом зале, </w:t>
      </w:r>
      <w:proofErr w:type="spellStart"/>
      <w:r>
        <w:t>кардиотренажерном</w:t>
      </w:r>
      <w:proofErr w:type="spellEnd"/>
      <w:r>
        <w:t xml:space="preserve"> зале, тренажерном зале, </w:t>
      </w:r>
      <w:proofErr w:type="gramStart"/>
      <w:r>
        <w:t>расположенных</w:t>
      </w:r>
      <w:proofErr w:type="gramEnd"/>
      <w:r>
        <w:t xml:space="preserve"> в здании отдела</w:t>
      </w:r>
    </w:p>
    <w:p w:rsidR="00477F0A" w:rsidRDefault="00477F0A" w:rsidP="00477F0A">
      <w:pPr>
        <w:ind w:firstLine="851"/>
        <w:jc w:val="both"/>
      </w:pPr>
      <w:r>
        <w:t xml:space="preserve">В  2015 году  проходили встречи ведущих спортсменов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 xml:space="preserve"> с детьми детского сада «Радуга», обучающимися Гимназии, общеобразовательной школы №5. </w:t>
      </w:r>
    </w:p>
    <w:p w:rsidR="00477F0A" w:rsidRDefault="00477F0A" w:rsidP="00477F0A">
      <w:pPr>
        <w:ind w:firstLine="851"/>
        <w:jc w:val="both"/>
      </w:pPr>
      <w:r>
        <w:t>С момента открытия отдела «Центр адаптивного спорта» в г. Югорске, спортивные мероприятия,  для детей из РЦ «Солнышко» стали носить систематический характер.</w:t>
      </w:r>
    </w:p>
    <w:p w:rsidR="00477F0A" w:rsidRDefault="00FB2404" w:rsidP="00477F0A">
      <w:pPr>
        <w:ind w:firstLine="851"/>
        <w:jc w:val="both"/>
      </w:pPr>
      <w:proofErr w:type="gramStart"/>
      <w:r>
        <w:t>Количество проведенных</w:t>
      </w:r>
      <w:r w:rsidR="00477F0A">
        <w:t xml:space="preserve"> мероприятий</w:t>
      </w:r>
      <w:r>
        <w:t xml:space="preserve">, </w:t>
      </w:r>
      <w:r w:rsidRPr="00FB2404">
        <w:t>направленны</w:t>
      </w:r>
      <w:r>
        <w:t>х</w:t>
      </w:r>
      <w:r w:rsidRPr="00FB2404">
        <w:t xml:space="preserve"> на социальную адаптацию инвалидов</w:t>
      </w:r>
      <w:r>
        <w:t>,</w:t>
      </w:r>
      <w:r w:rsidR="00477F0A">
        <w:t xml:space="preserve"> п</w:t>
      </w:r>
      <w:r>
        <w:t>ри взаимодействии с</w:t>
      </w:r>
      <w:r w:rsidR="00477F0A">
        <w:t xml:space="preserve"> БУ ХМАО-Югры  «Реабилитационный центр для детей и подростков с ограниченными возможностями «Солнышко» и БУ ХМАО-Югры  «Центр адаптивного спорта»</w:t>
      </w:r>
      <w:r>
        <w:t xml:space="preserve"> составило 16, в том числе</w:t>
      </w:r>
      <w:r w:rsidR="00477F0A">
        <w:t xml:space="preserve">: </w:t>
      </w:r>
      <w:r>
        <w:t>э</w:t>
      </w:r>
      <w:r w:rsidR="00477F0A">
        <w:t xml:space="preserve">стафетные соревнования по легкой атлетике, «Мама, папа я - спортивная семья», День легкоатлета, Веселые старты, Веселая эстафета, Праздник волейбольного мяча,  </w:t>
      </w:r>
      <w:proofErr w:type="spellStart"/>
      <w:r w:rsidR="00477F0A">
        <w:t>Полнокупольное</w:t>
      </w:r>
      <w:proofErr w:type="spellEnd"/>
      <w:r w:rsidR="00477F0A">
        <w:t xml:space="preserve"> шоу, Боулинг, Познавательная экскурсия по зданию</w:t>
      </w:r>
      <w:proofErr w:type="gramEnd"/>
      <w:r w:rsidR="00477F0A">
        <w:t>, Праздник подвижных игр, Праздник аттракционов.</w:t>
      </w:r>
      <w:r w:rsidR="00477F0A">
        <w:t xml:space="preserve"> Кроме того, в рамках декады инвалидов проведены веселые старты, соревнования по игре </w:t>
      </w:r>
      <w:proofErr w:type="spellStart"/>
      <w:r w:rsidR="00477F0A">
        <w:t>бочча</w:t>
      </w:r>
      <w:proofErr w:type="spellEnd"/>
      <w:r w:rsidR="00477F0A">
        <w:t xml:space="preserve">, волейболу сидя, теннису, </w:t>
      </w:r>
      <w:proofErr w:type="spellStart"/>
      <w:r w:rsidR="00477F0A">
        <w:t>дартсу</w:t>
      </w:r>
      <w:proofErr w:type="spellEnd"/>
      <w:r w:rsidR="00477F0A">
        <w:t>.</w:t>
      </w:r>
    </w:p>
    <w:p w:rsidR="00477F0A" w:rsidRDefault="00477F0A" w:rsidP="00477F0A">
      <w:pPr>
        <w:ind w:firstLine="851"/>
        <w:jc w:val="both"/>
      </w:pPr>
      <w:r>
        <w:t>Итого, в данных мероприятиях приняли участие 90 детей с инвалидностью. Во время проведения таких мероприятий тренеры просматривали ребят, определяли, какой вид спорта наиболее подходит тому или иному ребенку.  И с согласия родителей, дети, которые показывали интерес и желание заниматься, зачислялись в секции по видам спорта.</w:t>
      </w:r>
    </w:p>
    <w:p w:rsidR="00477F0A" w:rsidRDefault="00477F0A" w:rsidP="00477F0A">
      <w:pPr>
        <w:ind w:firstLine="851"/>
        <w:jc w:val="both"/>
      </w:pPr>
      <w:r>
        <w:t xml:space="preserve">В  ноябре 2015 года в городе </w:t>
      </w:r>
      <w:proofErr w:type="spellStart"/>
      <w:r>
        <w:t>Нягань</w:t>
      </w:r>
      <w:proofErr w:type="spellEnd"/>
      <w:r>
        <w:t xml:space="preserve"> прошел Окружной фестиваль спорта «</w:t>
      </w:r>
      <w:proofErr w:type="gramStart"/>
      <w:r>
        <w:t>Через</w:t>
      </w:r>
      <w:proofErr w:type="gramEnd"/>
      <w:r>
        <w:t xml:space="preserve"> тернии к звездам» среди людей с инвалидностью. В нем приняли участие спортсмены города Югорска в количестве 11 человек.  Участники соревновались в шахматах, шашках,  </w:t>
      </w:r>
      <w:proofErr w:type="spellStart"/>
      <w:r>
        <w:t>дартсе</w:t>
      </w:r>
      <w:proofErr w:type="spellEnd"/>
      <w:r>
        <w:t xml:space="preserve">, бросках баскетбольного мяча, а также в разгадывании кроссвордов и творческом конкурсе.  </w:t>
      </w:r>
    </w:p>
    <w:p w:rsidR="00056D07" w:rsidRPr="002624DF" w:rsidRDefault="00056D07" w:rsidP="00056D07">
      <w:pPr>
        <w:ind w:firstLine="555"/>
        <w:jc w:val="both"/>
      </w:pPr>
      <w:r w:rsidRPr="002624DF">
        <w:t>Продолжается строительство спортивного комплекса с универсальным игровым залом, который полностью отвечает требованиям безбарьерной среды для лиц с ограниченными физическими возможностями</w:t>
      </w:r>
      <w:r>
        <w:t>, ориентировочный срок сдачи объекта – 201</w:t>
      </w:r>
      <w:r w:rsidR="00477F0A">
        <w:t>7</w:t>
      </w:r>
      <w:r>
        <w:t xml:space="preserve"> год</w:t>
      </w:r>
      <w:r w:rsidRPr="002624DF">
        <w:t>.</w:t>
      </w:r>
    </w:p>
    <w:p w:rsidR="00B66633" w:rsidRPr="004E0B82" w:rsidRDefault="00056D07" w:rsidP="00056D07">
      <w:pPr>
        <w:ind w:firstLine="555"/>
        <w:jc w:val="both"/>
      </w:pPr>
      <w:r w:rsidRPr="002624DF">
        <w:t xml:space="preserve"> </w:t>
      </w:r>
      <w:r w:rsidRPr="002624DF">
        <w:tab/>
      </w:r>
      <w:r w:rsidR="00B66633">
        <w:t>Выполнение мероприятий задачи 3 планировалось без привлечения дополнительного финансирования в рамках текущей деятельности учреждения культуры и физической культуры и спорта.</w:t>
      </w:r>
    </w:p>
    <w:p w:rsidR="0032547F" w:rsidRDefault="0032547F" w:rsidP="00F13381">
      <w:pPr>
        <w:pStyle w:val="aa"/>
        <w:spacing w:line="240" w:lineRule="auto"/>
        <w:ind w:firstLine="851"/>
        <w:jc w:val="both"/>
      </w:pPr>
    </w:p>
    <w:p w:rsidR="00320A2D" w:rsidRDefault="00320A2D" w:rsidP="00320A2D">
      <w:pPr>
        <w:ind w:firstLine="851"/>
        <w:jc w:val="both"/>
        <w:rPr>
          <w:b/>
          <w:bCs/>
        </w:rPr>
      </w:pPr>
      <w:r w:rsidRPr="0075186E">
        <w:t>Результаты выполнения мероприятий  программы за 201</w:t>
      </w:r>
      <w:r w:rsidR="00B66633">
        <w:t>5</w:t>
      </w:r>
      <w:r>
        <w:t xml:space="preserve"> </w:t>
      </w:r>
      <w:r w:rsidRPr="0075186E">
        <w:t xml:space="preserve"> год представлены в таблице </w:t>
      </w:r>
      <w:r>
        <w:t>«</w:t>
      </w:r>
      <w:r w:rsidRPr="00320A2D">
        <w:t xml:space="preserve">Отчет о достижении целевых показателей эффективности муниципальной программы </w:t>
      </w:r>
      <w:r>
        <w:t>«</w:t>
      </w:r>
      <w:r w:rsidRPr="00320A2D">
        <w:t>Доступная среда в городе Югорске на 2014 - 2020 годы</w:t>
      </w:r>
      <w:r w:rsidRPr="00C55465">
        <w:rPr>
          <w:bCs/>
        </w:rPr>
        <w:t>»</w:t>
      </w:r>
      <w:r>
        <w:rPr>
          <w:bCs/>
        </w:rPr>
        <w:t>.</w:t>
      </w:r>
      <w:r w:rsidRPr="00C55465">
        <w:rPr>
          <w:bCs/>
        </w:rPr>
        <w:t xml:space="preserve">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bookmarkStart w:id="0" w:name="_GoBack"/>
      <w:bookmarkEnd w:id="0"/>
      <w:r w:rsidRPr="00320A2D">
        <w:rPr>
          <w:b/>
        </w:rPr>
        <w:t xml:space="preserve">Заместитель начальника по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организационно-массовой и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социальной работе УСП </w:t>
      </w:r>
      <w:r>
        <w:rPr>
          <w:b/>
        </w:rPr>
        <w:t xml:space="preserve">                                                                             </w:t>
      </w:r>
      <w:r w:rsidRPr="00320A2D">
        <w:rPr>
          <w:b/>
        </w:rPr>
        <w:t>Т. А. Хорошавина</w:t>
      </w:r>
    </w:p>
    <w:sectPr w:rsidR="00320A2D" w:rsidRPr="0032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449E3"/>
    <w:rsid w:val="00056D07"/>
    <w:rsid w:val="00063783"/>
    <w:rsid w:val="00091C7D"/>
    <w:rsid w:val="000973E9"/>
    <w:rsid w:val="000A0807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64D1D"/>
    <w:rsid w:val="0017619A"/>
    <w:rsid w:val="0018089B"/>
    <w:rsid w:val="00184ECA"/>
    <w:rsid w:val="001871BB"/>
    <w:rsid w:val="001957D1"/>
    <w:rsid w:val="001B4E5B"/>
    <w:rsid w:val="001C130B"/>
    <w:rsid w:val="001C5595"/>
    <w:rsid w:val="001E7F63"/>
    <w:rsid w:val="001F0A74"/>
    <w:rsid w:val="00200F11"/>
    <w:rsid w:val="00214497"/>
    <w:rsid w:val="00270ABD"/>
    <w:rsid w:val="00274142"/>
    <w:rsid w:val="0027536F"/>
    <w:rsid w:val="002754EF"/>
    <w:rsid w:val="002A3EA5"/>
    <w:rsid w:val="002A4C78"/>
    <w:rsid w:val="002B5FEB"/>
    <w:rsid w:val="002C0F79"/>
    <w:rsid w:val="002D20B4"/>
    <w:rsid w:val="003031F8"/>
    <w:rsid w:val="00320A2D"/>
    <w:rsid w:val="0032547F"/>
    <w:rsid w:val="00341C83"/>
    <w:rsid w:val="003772B9"/>
    <w:rsid w:val="00380C20"/>
    <w:rsid w:val="00383103"/>
    <w:rsid w:val="0038627B"/>
    <w:rsid w:val="0039039F"/>
    <w:rsid w:val="003956EA"/>
    <w:rsid w:val="00396B58"/>
    <w:rsid w:val="003B1303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17CCC"/>
    <w:rsid w:val="00424AFB"/>
    <w:rsid w:val="00425A76"/>
    <w:rsid w:val="00427271"/>
    <w:rsid w:val="004375F6"/>
    <w:rsid w:val="00445C48"/>
    <w:rsid w:val="004560D1"/>
    <w:rsid w:val="004628CD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33AF6"/>
    <w:rsid w:val="0055440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5BF8"/>
    <w:rsid w:val="00667B28"/>
    <w:rsid w:val="00676351"/>
    <w:rsid w:val="00696245"/>
    <w:rsid w:val="006A066C"/>
    <w:rsid w:val="006A593D"/>
    <w:rsid w:val="006A5B4A"/>
    <w:rsid w:val="006C007C"/>
    <w:rsid w:val="006C3F81"/>
    <w:rsid w:val="006D092E"/>
    <w:rsid w:val="006E773C"/>
    <w:rsid w:val="006F3634"/>
    <w:rsid w:val="006F6444"/>
    <w:rsid w:val="00721156"/>
    <w:rsid w:val="00736524"/>
    <w:rsid w:val="00742F8E"/>
    <w:rsid w:val="00745CF5"/>
    <w:rsid w:val="007521AB"/>
    <w:rsid w:val="00757601"/>
    <w:rsid w:val="00763F70"/>
    <w:rsid w:val="0076699E"/>
    <w:rsid w:val="007733A0"/>
    <w:rsid w:val="00780A63"/>
    <w:rsid w:val="007B313C"/>
    <w:rsid w:val="007C11B5"/>
    <w:rsid w:val="007E3F88"/>
    <w:rsid w:val="00806BFB"/>
    <w:rsid w:val="00823A11"/>
    <w:rsid w:val="00830CFA"/>
    <w:rsid w:val="008345A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5961"/>
    <w:rsid w:val="00B85C75"/>
    <w:rsid w:val="00B93D4A"/>
    <w:rsid w:val="00BA013E"/>
    <w:rsid w:val="00BA21ED"/>
    <w:rsid w:val="00BA78A2"/>
    <w:rsid w:val="00BB4C6C"/>
    <w:rsid w:val="00BB4CEF"/>
    <w:rsid w:val="00BE1B47"/>
    <w:rsid w:val="00BE5F92"/>
    <w:rsid w:val="00BF25AC"/>
    <w:rsid w:val="00BF55C8"/>
    <w:rsid w:val="00C06D8F"/>
    <w:rsid w:val="00C20A18"/>
    <w:rsid w:val="00C3095C"/>
    <w:rsid w:val="00C47268"/>
    <w:rsid w:val="00C55465"/>
    <w:rsid w:val="00C6234F"/>
    <w:rsid w:val="00C64042"/>
    <w:rsid w:val="00C75811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388C"/>
    <w:rsid w:val="00D775F6"/>
    <w:rsid w:val="00D94D74"/>
    <w:rsid w:val="00DB49F9"/>
    <w:rsid w:val="00DC0446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13381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FF84-88C5-4E83-96C1-61AD91C2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2559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4</cp:revision>
  <cp:lastPrinted>2016-01-13T10:01:00Z</cp:lastPrinted>
  <dcterms:created xsi:type="dcterms:W3CDTF">2016-01-13T09:50:00Z</dcterms:created>
  <dcterms:modified xsi:type="dcterms:W3CDTF">2016-01-13T12:00:00Z</dcterms:modified>
</cp:coreProperties>
</file>