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DB5D3F" w:rsidP="00A319BE">
      <w:pPr>
        <w:ind w:right="-284"/>
        <w:jc w:val="center"/>
      </w:pPr>
      <w:r>
        <w:rPr>
          <w:noProof/>
          <w:lang w:eastAsia="ru-RU"/>
        </w:rPr>
        <w:drawing>
          <wp:inline distT="0" distB="0" distL="0" distR="0" wp14:anchorId="15FF37E5" wp14:editId="7B0FF998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1CD" w:rsidRDefault="002831CD" w:rsidP="00DB5D3F">
      <w:pPr>
        <w:ind w:left="3600" w:right="-284" w:firstLine="720"/>
      </w:pPr>
    </w:p>
    <w:p w:rsidR="00DB5D3F" w:rsidRPr="002435FC" w:rsidRDefault="002435FC" w:rsidP="00DB5D3F">
      <w:pPr>
        <w:pStyle w:val="5"/>
        <w:numPr>
          <w:ilvl w:val="0"/>
          <w:numId w:val="0"/>
        </w:numPr>
        <w:ind w:left="720"/>
        <w:jc w:val="left"/>
        <w:rPr>
          <w:rFonts w:ascii="PT Astra Serif" w:hAnsi="PT Astra Serif"/>
          <w:spacing w:val="20"/>
        </w:rPr>
      </w:pPr>
      <w:r>
        <w:t xml:space="preserve">  </w:t>
      </w:r>
      <w:r w:rsidR="000C1879">
        <w:t xml:space="preserve">      </w:t>
      </w:r>
      <w:r w:rsidR="00D17461">
        <w:t xml:space="preserve">                 </w:t>
      </w:r>
      <w:r w:rsidR="000C1879">
        <w:t xml:space="preserve">   </w:t>
      </w:r>
      <w:r w:rsidR="00D17461">
        <w:t>ДУМА</w:t>
      </w:r>
      <w:r w:rsidR="00DB5D3F" w:rsidRPr="002435FC">
        <w:rPr>
          <w:rFonts w:ascii="PT Astra Serif" w:hAnsi="PT Astra Serif"/>
          <w:spacing w:val="20"/>
        </w:rPr>
        <w:t xml:space="preserve">  ГОРОДА  ЮГОРСКА     </w:t>
      </w:r>
    </w:p>
    <w:p w:rsidR="00DB5D3F" w:rsidRPr="002435FC" w:rsidRDefault="002435FC" w:rsidP="00DB5D3F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</w:t>
      </w:r>
      <w:r w:rsidR="000C1879">
        <w:rPr>
          <w:rFonts w:ascii="PT Astra Serif" w:hAnsi="PT Astra Serif"/>
          <w:sz w:val="28"/>
          <w:szCs w:val="28"/>
        </w:rPr>
        <w:t xml:space="preserve">         </w:t>
      </w:r>
      <w:r w:rsidR="00DB5D3F"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DB5D3F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B5D3F" w:rsidP="00DB5D3F">
      <w:pPr>
        <w:pStyle w:val="6"/>
        <w:ind w:right="-284"/>
        <w:jc w:val="left"/>
        <w:rPr>
          <w:rFonts w:ascii="PT Astra Serif" w:hAnsi="PT Astra Serif"/>
          <w:spacing w:val="20"/>
          <w:sz w:val="24"/>
          <w:szCs w:val="24"/>
        </w:rPr>
      </w:pPr>
      <w:r w:rsidRPr="002435FC">
        <w:rPr>
          <w:rFonts w:ascii="PT Astra Serif" w:hAnsi="PT Astra Serif"/>
          <w:sz w:val="36"/>
          <w:szCs w:val="36"/>
        </w:rPr>
        <w:t xml:space="preserve">                  </w:t>
      </w:r>
      <w:r w:rsidR="00D17461">
        <w:rPr>
          <w:rFonts w:ascii="PT Astra Serif" w:hAnsi="PT Astra Serif"/>
          <w:sz w:val="36"/>
          <w:szCs w:val="36"/>
        </w:rPr>
        <w:t xml:space="preserve">          </w:t>
      </w:r>
      <w:r w:rsidR="000C1879">
        <w:rPr>
          <w:rFonts w:ascii="PT Astra Serif" w:hAnsi="PT Astra Serif"/>
          <w:sz w:val="36"/>
          <w:szCs w:val="36"/>
        </w:rPr>
        <w:t xml:space="preserve">  </w:t>
      </w:r>
      <w:r w:rsidRPr="002435FC">
        <w:rPr>
          <w:rFonts w:ascii="PT Astra Serif" w:hAnsi="PT Astra Serif"/>
          <w:sz w:val="36"/>
          <w:szCs w:val="36"/>
        </w:rPr>
        <w:t xml:space="preserve">   </w:t>
      </w:r>
      <w:r w:rsidR="00D17461">
        <w:rPr>
          <w:rFonts w:ascii="PT Astra Serif" w:hAnsi="PT Astra Serif"/>
          <w:sz w:val="36"/>
          <w:szCs w:val="36"/>
        </w:rPr>
        <w:t>РЕШЕНИЕ</w:t>
      </w:r>
      <w:r w:rsidRPr="002435FC">
        <w:rPr>
          <w:rFonts w:ascii="PT Astra Serif" w:hAnsi="PT Astra Serif"/>
          <w:spacing w:val="20"/>
        </w:rPr>
        <w:t xml:space="preserve">                    </w:t>
      </w:r>
      <w:r w:rsidRPr="002435FC">
        <w:rPr>
          <w:rFonts w:ascii="PT Astra Serif" w:hAnsi="PT Astra Serif"/>
          <w:spacing w:val="20"/>
          <w:sz w:val="24"/>
          <w:szCs w:val="24"/>
        </w:rPr>
        <w:t xml:space="preserve"> </w:t>
      </w:r>
    </w:p>
    <w:p w:rsidR="00A319BE" w:rsidRDefault="00A319BE" w:rsidP="00A319BE">
      <w:pPr>
        <w:jc w:val="center"/>
        <w:rPr>
          <w:rFonts w:ascii="PT Astra Serif" w:hAnsi="PT Astra Serif"/>
        </w:rPr>
      </w:pPr>
    </w:p>
    <w:p w:rsidR="00DB5D3F" w:rsidRDefault="00A319BE" w:rsidP="00F927EA">
      <w:pPr>
        <w:jc w:val="center"/>
        <w:rPr>
          <w:rFonts w:ascii="PT Astra Serif" w:hAnsi="PT Astra Serif"/>
        </w:rPr>
      </w:pPr>
      <w:r w:rsidRPr="00A319BE">
        <w:rPr>
          <w:rFonts w:ascii="PT Astra Serif" w:hAnsi="PT Astra Serif"/>
        </w:rPr>
        <w:t>(с из</w:t>
      </w:r>
      <w:r w:rsidR="00F939E4">
        <w:rPr>
          <w:rFonts w:ascii="PT Astra Serif" w:hAnsi="PT Astra Serif"/>
        </w:rPr>
        <w:t xml:space="preserve">менениями и дополнениями от: 18.12.2014 № 86, 02.06.2015 № 36, 13.09.2016 № 73, 25.04.2017 № 35, 26.12.2017 № 113, 25.09.2018 № 66, </w:t>
      </w:r>
      <w:r w:rsidRPr="00A319BE">
        <w:rPr>
          <w:rFonts w:ascii="PT Astra Serif" w:hAnsi="PT Astra Serif"/>
        </w:rPr>
        <w:t>29.05.2020 № 36</w:t>
      </w:r>
      <w:r w:rsidR="00761DE2">
        <w:rPr>
          <w:rFonts w:ascii="PT Astra Serif" w:hAnsi="PT Astra Serif"/>
        </w:rPr>
        <w:t xml:space="preserve">, </w:t>
      </w:r>
      <w:r w:rsidR="00761DE2" w:rsidRPr="00007CD9">
        <w:rPr>
          <w:rFonts w:ascii="PT Astra Serif" w:hAnsi="PT Astra Serif"/>
        </w:rPr>
        <w:t>31.05.2022 №</w:t>
      </w:r>
      <w:r w:rsidR="00105DF5" w:rsidRPr="00007CD9">
        <w:rPr>
          <w:rFonts w:ascii="PT Astra Serif" w:hAnsi="PT Astra Serif"/>
        </w:rPr>
        <w:t xml:space="preserve"> 53</w:t>
      </w:r>
      <w:r w:rsidRPr="00007CD9">
        <w:rPr>
          <w:rFonts w:ascii="PT Astra Serif" w:hAnsi="PT Astra Serif"/>
        </w:rPr>
        <w:t>)</w:t>
      </w:r>
    </w:p>
    <w:p w:rsidR="00DB5D3F" w:rsidRPr="00F927EA" w:rsidRDefault="00DB5D3F" w:rsidP="00DB5D3F">
      <w:pPr>
        <w:rPr>
          <w:szCs w:val="24"/>
        </w:rPr>
      </w:pPr>
    </w:p>
    <w:p w:rsidR="00A319BE" w:rsidRDefault="00DB5D3F" w:rsidP="00DB5D3F">
      <w:pPr>
        <w:rPr>
          <w:rFonts w:ascii="PT Astra Serif" w:hAnsi="PT Astra Serif"/>
          <w:b/>
          <w:sz w:val="26"/>
          <w:szCs w:val="26"/>
        </w:rPr>
      </w:pPr>
      <w:r w:rsidRPr="00C625D9">
        <w:rPr>
          <w:rFonts w:ascii="PT Astra Serif" w:hAnsi="PT Astra Serif"/>
          <w:sz w:val="26"/>
          <w:szCs w:val="26"/>
        </w:rPr>
        <w:t xml:space="preserve">от  </w:t>
      </w:r>
      <w:r w:rsidR="00A319BE" w:rsidRPr="00A319BE">
        <w:rPr>
          <w:rFonts w:ascii="PT Astra Serif" w:hAnsi="PT Astra Serif"/>
          <w:sz w:val="26"/>
          <w:szCs w:val="26"/>
        </w:rPr>
        <w:t>30 мая 2014 года</w:t>
      </w:r>
      <w:r w:rsidR="00F927EA">
        <w:rPr>
          <w:rFonts w:ascii="PT Astra Serif" w:hAnsi="PT Astra Serif"/>
          <w:sz w:val="26"/>
          <w:szCs w:val="26"/>
        </w:rPr>
        <w:t xml:space="preserve">   </w:t>
      </w:r>
      <w:r>
        <w:rPr>
          <w:rFonts w:ascii="PT Astra Serif" w:hAnsi="PT Astra Serif"/>
          <w:sz w:val="26"/>
          <w:szCs w:val="26"/>
        </w:rPr>
        <w:t xml:space="preserve">   </w:t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</w:r>
      <w:r w:rsidRPr="00C625D9">
        <w:rPr>
          <w:rFonts w:ascii="PT Astra Serif" w:hAnsi="PT Astra Serif"/>
          <w:sz w:val="26"/>
          <w:szCs w:val="26"/>
        </w:rPr>
        <w:tab/>
        <w:t xml:space="preserve">                                 </w:t>
      </w:r>
      <w:r>
        <w:rPr>
          <w:rFonts w:ascii="PT Astra Serif" w:hAnsi="PT Astra Serif"/>
          <w:sz w:val="26"/>
          <w:szCs w:val="26"/>
        </w:rPr>
        <w:t xml:space="preserve"> </w:t>
      </w:r>
      <w:r w:rsidR="00A319BE">
        <w:rPr>
          <w:rFonts w:ascii="PT Astra Serif" w:hAnsi="PT Astra Serif"/>
          <w:sz w:val="26"/>
          <w:szCs w:val="26"/>
        </w:rPr>
        <w:t xml:space="preserve">     </w:t>
      </w:r>
      <w:r>
        <w:rPr>
          <w:rFonts w:ascii="PT Astra Serif" w:hAnsi="PT Astra Serif"/>
          <w:sz w:val="26"/>
          <w:szCs w:val="26"/>
        </w:rPr>
        <w:t xml:space="preserve">     </w:t>
      </w:r>
      <w:r w:rsidRPr="00C625D9">
        <w:rPr>
          <w:rFonts w:ascii="PT Astra Serif" w:hAnsi="PT Astra Serif"/>
          <w:sz w:val="26"/>
          <w:szCs w:val="26"/>
        </w:rPr>
        <w:t xml:space="preserve"> </w:t>
      </w:r>
      <w:r w:rsidR="00F927EA">
        <w:rPr>
          <w:rFonts w:ascii="PT Astra Serif" w:hAnsi="PT Astra Serif"/>
          <w:sz w:val="26"/>
          <w:szCs w:val="26"/>
        </w:rPr>
        <w:t xml:space="preserve">             </w:t>
      </w:r>
      <w:r w:rsidRPr="00C625D9">
        <w:rPr>
          <w:rFonts w:ascii="PT Astra Serif" w:hAnsi="PT Astra Serif"/>
          <w:sz w:val="26"/>
          <w:szCs w:val="26"/>
        </w:rPr>
        <w:t>№ </w:t>
      </w:r>
      <w:r w:rsidR="00F927EA">
        <w:rPr>
          <w:rFonts w:ascii="PT Astra Serif" w:hAnsi="PT Astra Serif"/>
          <w:sz w:val="26"/>
          <w:szCs w:val="26"/>
        </w:rPr>
        <w:t>41</w:t>
      </w:r>
      <w:r w:rsidRPr="00C625D9">
        <w:rPr>
          <w:rFonts w:ascii="PT Astra Serif" w:hAnsi="PT Astra Serif"/>
          <w:sz w:val="26"/>
          <w:szCs w:val="26"/>
        </w:rPr>
        <w:br/>
      </w:r>
    </w:p>
    <w:p w:rsidR="00A319BE" w:rsidRDefault="00A319BE" w:rsidP="00DB5D3F">
      <w:pPr>
        <w:rPr>
          <w:rFonts w:ascii="PT Astra Serif" w:hAnsi="PT Astra Serif"/>
          <w:b/>
          <w:sz w:val="26"/>
          <w:szCs w:val="26"/>
        </w:rPr>
      </w:pPr>
    </w:p>
    <w:p w:rsidR="00A319BE" w:rsidRPr="00A319BE" w:rsidRDefault="00A319BE" w:rsidP="00A319BE">
      <w:pPr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Об утверждении Положения</w:t>
      </w:r>
    </w:p>
    <w:p w:rsidR="00A319BE" w:rsidRPr="00A319BE" w:rsidRDefault="00A319BE" w:rsidP="00A319BE">
      <w:pPr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 xml:space="preserve">о Департаменте </w:t>
      </w:r>
      <w:proofErr w:type="gramStart"/>
      <w:r w:rsidRPr="00A319BE">
        <w:rPr>
          <w:rFonts w:ascii="PT Astra Serif" w:hAnsi="PT Astra Serif"/>
          <w:sz w:val="26"/>
          <w:szCs w:val="26"/>
        </w:rPr>
        <w:t>муниципальной</w:t>
      </w:r>
      <w:proofErr w:type="gramEnd"/>
    </w:p>
    <w:p w:rsidR="00A319BE" w:rsidRPr="00A319BE" w:rsidRDefault="00A319BE" w:rsidP="00A319BE">
      <w:pPr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собственности и градостроительства</w:t>
      </w:r>
    </w:p>
    <w:p w:rsidR="00A319BE" w:rsidRPr="00A319BE" w:rsidRDefault="00A319BE" w:rsidP="00A319BE">
      <w:pPr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администрации города Югорска</w:t>
      </w:r>
    </w:p>
    <w:p w:rsidR="00A319BE" w:rsidRDefault="00A319BE" w:rsidP="00A319BE">
      <w:pPr>
        <w:tabs>
          <w:tab w:val="left" w:pos="789"/>
        </w:tabs>
      </w:pPr>
    </w:p>
    <w:p w:rsidR="00A319BE" w:rsidRDefault="00A319BE" w:rsidP="00A319BE">
      <w:pPr>
        <w:tabs>
          <w:tab w:val="left" w:pos="789"/>
        </w:tabs>
      </w:pP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A319BE">
        <w:rPr>
          <w:rFonts w:ascii="PT Astra Serif" w:hAnsi="PT Astra Serif"/>
          <w:sz w:val="26"/>
          <w:szCs w:val="26"/>
        </w:rPr>
        <w:t>В целях совершенствования механизма реализации функций департамента муниципальной собственности и градостроительства администрации города Югорска, повышения эффективности взаимодействия структур администрации города Югорска, в связи с разграничением компетенции органов и структурных подразделений администрации города Югорска по решению вопросов местного значения, в соответствии с Федеральным законом от 06.10.2003 N 131-ФЗ "Об общих принципах организации местного самоуправления в Российской Федерации", Уставом города Югорска, Дума</w:t>
      </w:r>
      <w:proofErr w:type="gramEnd"/>
      <w:r w:rsidRPr="00A319BE">
        <w:rPr>
          <w:rFonts w:ascii="PT Astra Serif" w:hAnsi="PT Astra Serif"/>
          <w:sz w:val="26"/>
          <w:szCs w:val="26"/>
        </w:rPr>
        <w:t xml:space="preserve"> города Югорска решила:</w:t>
      </w: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1. Утвердить Положение о департаменте муниципальной собственности и градостроительства администрации города Югорска (приложение).</w:t>
      </w: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2. Признать утратившими силу:</w:t>
      </w: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- решение Думы города Югорска от 28.09.2010 N 83 "Об утверждении в новой редакции Положения о департаменте муниципальной собственности и градостроительства администрации города Югорска";</w:t>
      </w: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- решение Думы города Югорска от 29.11.2011 N 113 "О внесении изменений в решение Думы города Югорска от 28.09.2010 N 83";</w:t>
      </w:r>
    </w:p>
    <w:p w:rsidR="00A319BE" w:rsidRP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- решение Думы города Югорска от 29.05.2012 N 44 "О внесении изменений в решение Думы города Югорска от 28.09.2010 N 83".</w:t>
      </w:r>
    </w:p>
    <w:p w:rsidR="00A319BE" w:rsidRDefault="00A319BE" w:rsidP="00A319BE">
      <w:pPr>
        <w:tabs>
          <w:tab w:val="left" w:pos="789"/>
        </w:tabs>
        <w:ind w:firstLine="709"/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3. Настоящее решение вступает в силу после его официального опубликования в газете "Югорский вестник".</w:t>
      </w:r>
    </w:p>
    <w:p w:rsidR="00A319BE" w:rsidRDefault="00A319BE" w:rsidP="00A319BE">
      <w:pPr>
        <w:tabs>
          <w:tab w:val="left" w:pos="789"/>
        </w:tabs>
        <w:jc w:val="both"/>
        <w:rPr>
          <w:rFonts w:ascii="PT Astra Serif" w:hAnsi="PT Astra Serif"/>
          <w:sz w:val="26"/>
          <w:szCs w:val="26"/>
        </w:rPr>
      </w:pPr>
    </w:p>
    <w:p w:rsidR="00A319BE" w:rsidRDefault="00A319BE" w:rsidP="00A319BE">
      <w:pPr>
        <w:tabs>
          <w:tab w:val="left" w:pos="789"/>
        </w:tabs>
        <w:jc w:val="both"/>
        <w:rPr>
          <w:rFonts w:ascii="PT Astra Serif" w:hAnsi="PT Astra Serif"/>
          <w:sz w:val="26"/>
          <w:szCs w:val="26"/>
        </w:rPr>
      </w:pPr>
    </w:p>
    <w:p w:rsidR="00A319BE" w:rsidRPr="00A319BE" w:rsidRDefault="00A319BE" w:rsidP="00A319BE">
      <w:pPr>
        <w:tabs>
          <w:tab w:val="left" w:pos="789"/>
        </w:tabs>
        <w:jc w:val="both"/>
        <w:rPr>
          <w:rFonts w:ascii="PT Astra Serif" w:hAnsi="PT Astra Serif"/>
          <w:b/>
          <w:sz w:val="26"/>
          <w:szCs w:val="26"/>
        </w:rPr>
      </w:pPr>
      <w:r w:rsidRPr="00A319BE">
        <w:rPr>
          <w:rFonts w:ascii="PT Astra Serif" w:hAnsi="PT Astra Serif"/>
          <w:b/>
          <w:sz w:val="26"/>
          <w:szCs w:val="26"/>
        </w:rPr>
        <w:t>Глава го</w:t>
      </w:r>
      <w:r w:rsidR="00F927EA">
        <w:rPr>
          <w:rFonts w:ascii="PT Astra Serif" w:hAnsi="PT Astra Serif"/>
          <w:b/>
          <w:sz w:val="26"/>
          <w:szCs w:val="26"/>
        </w:rPr>
        <w:t>рода Югорска</w:t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 w:rsidR="00F927EA">
        <w:rPr>
          <w:rFonts w:ascii="PT Astra Serif" w:hAnsi="PT Astra Serif"/>
          <w:b/>
          <w:sz w:val="26"/>
          <w:szCs w:val="26"/>
        </w:rPr>
        <w:tab/>
      </w:r>
      <w:r>
        <w:rPr>
          <w:rFonts w:ascii="PT Astra Serif" w:hAnsi="PT Astra Serif"/>
          <w:b/>
          <w:sz w:val="26"/>
          <w:szCs w:val="26"/>
        </w:rPr>
        <w:t xml:space="preserve">   </w:t>
      </w:r>
      <w:r w:rsidRPr="00A319BE">
        <w:rPr>
          <w:rFonts w:ascii="PT Astra Serif" w:hAnsi="PT Astra Serif"/>
          <w:b/>
          <w:sz w:val="26"/>
          <w:szCs w:val="26"/>
        </w:rPr>
        <w:t xml:space="preserve">    Р.З. Салахов</w:t>
      </w:r>
    </w:p>
    <w:p w:rsidR="00A319BE" w:rsidRPr="00A319BE" w:rsidRDefault="00A319BE" w:rsidP="00A319BE">
      <w:pPr>
        <w:tabs>
          <w:tab w:val="left" w:pos="789"/>
        </w:tabs>
        <w:jc w:val="both"/>
        <w:rPr>
          <w:rFonts w:ascii="PT Astra Serif" w:hAnsi="PT Astra Serif"/>
          <w:sz w:val="26"/>
          <w:szCs w:val="26"/>
        </w:rPr>
      </w:pPr>
    </w:p>
    <w:p w:rsidR="00A319BE" w:rsidRPr="00A319BE" w:rsidRDefault="00A319BE" w:rsidP="00A319BE">
      <w:pPr>
        <w:tabs>
          <w:tab w:val="left" w:pos="789"/>
        </w:tabs>
        <w:jc w:val="both"/>
        <w:rPr>
          <w:rFonts w:ascii="PT Astra Serif" w:hAnsi="PT Astra Serif"/>
          <w:sz w:val="26"/>
          <w:szCs w:val="26"/>
        </w:rPr>
      </w:pPr>
      <w:r w:rsidRPr="00A319BE">
        <w:rPr>
          <w:rFonts w:ascii="PT Astra Serif" w:hAnsi="PT Astra Serif"/>
          <w:sz w:val="26"/>
          <w:szCs w:val="26"/>
        </w:rPr>
        <w:t>«30» мая 2014 года</w:t>
      </w:r>
    </w:p>
    <w:p w:rsidR="00007CD9" w:rsidRDefault="00007CD9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lastRenderedPageBreak/>
        <w:t xml:space="preserve">Приложение </w:t>
      </w:r>
    </w:p>
    <w:p w:rsidR="00F927EA" w:rsidRPr="00F927EA" w:rsidRDefault="00F927EA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к решению Думы города Югорска</w:t>
      </w:r>
    </w:p>
    <w:p w:rsidR="00F927EA" w:rsidRPr="00F927EA" w:rsidRDefault="00F927EA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от 30 мая 2014 года № 41</w:t>
      </w:r>
    </w:p>
    <w:p w:rsidR="00F927EA" w:rsidRPr="00F927EA" w:rsidRDefault="00F927EA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90" w:hanging="15"/>
        <w:jc w:val="right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ПОЛОЖЕНИЕ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 xml:space="preserve">О ДЕПАРТАМЕНТЕ МУНИЦИПАЛЬНОЙ СОБСТВЕННОСТИ 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И ГРАДОСТРОИТЕЛЬСТВА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АДМИНИСТРАЦИИ ГОРОДА ЮГОРСКА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>(с и</w:t>
      </w:r>
      <w:r w:rsidR="00F939E4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 xml:space="preserve">зменениями и дополнениями от: 18.12.2014 № 86, 02.06.2015 № 36, 13.09.2016 № 73, 25.04.2017 № 35, 26.12.2017 № 113, 25.09.2018 № 66, </w:t>
      </w:r>
      <w:r w:rsidRPr="00F927EA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>29.05.2020 № 36</w:t>
      </w:r>
      <w:r w:rsidR="00761DE2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 xml:space="preserve">, </w:t>
      </w:r>
      <w:r w:rsidR="00761DE2" w:rsidRPr="00007CD9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>31.05.2022 №</w:t>
      </w:r>
      <w:r w:rsidR="00105DF5" w:rsidRPr="00007CD9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 xml:space="preserve"> 53</w:t>
      </w:r>
      <w:r w:rsidRPr="00007CD9"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  <w:t>)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1. Общие положения</w:t>
      </w:r>
    </w:p>
    <w:p w:rsidR="00F927EA" w:rsidRPr="00F927EA" w:rsidRDefault="00F927EA" w:rsidP="00F927EA">
      <w:pPr>
        <w:widowControl w:val="0"/>
        <w:ind w:left="390" w:hanging="15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proofErr w:type="gramStart"/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Департамент муниципальной собственности и градостроительства администрации города Югорска (далее по тексту — Департамент) создан в результате реорганизации путем слияния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 на основании распоряжения главы города Югорска от 13.07.2005 № 1036 «О реорганизации Комитета по управлению муниципальным имуществом и земельным ресурсам администрации города Югорска и</w:t>
      </w:r>
      <w:proofErr w:type="gramEnd"/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отдела архитектуры и градостроительства администрации города Югорска в форме слияния».</w:t>
      </w: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Департамент является отраслевым органом администрации города Югорска.</w:t>
      </w:r>
      <w:bookmarkStart w:id="0" w:name="_GoBack"/>
      <w:bookmarkEnd w:id="0"/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Департамент в своей деятельности руководствуется Конституцией Российской Федерации, федеральными законами, указами Президента Российской Федерации, постановлениями и распоряжениями Правительства Российской Федерации, Уставом (Основным законом) Ханты-Мансийского автономного округа — Югры, иными законами  Ханты-Мансийского автономного округа — Югры, Уставом города Югорска, иными муниципальными правовыми актами, а также настоящим Положением.</w:t>
      </w: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Департамент является правопреемником по всем правам и обязанностям Комитета по управлению муниципальным имуществом и земельным ресурсам администрации города Югорска и отдела архитектуры и градостроительства администрации города Югорска.</w:t>
      </w: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Официальное полное наименование: Департамент муниципальной собственности и градостроительства администрации города Югорска.</w:t>
      </w:r>
    </w:p>
    <w:p w:rsidR="00F927EA" w:rsidRPr="00F927EA" w:rsidRDefault="00F927EA" w:rsidP="00F927EA">
      <w:pPr>
        <w:widowControl w:val="0"/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Сокращенное наименование: ДМСиГ.</w:t>
      </w: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Департамент является юридическим лицом, имеет круглую печать, штамп и бланки со своим наименованием, лицевые счета, открываемые в соответствии с Бюджетным кодексом Российской Федерации, выступает истцом и ответчиком в суде, арбитражном суде.</w:t>
      </w:r>
    </w:p>
    <w:p w:rsidR="00F927EA" w:rsidRPr="00F927EA" w:rsidRDefault="00F927EA" w:rsidP="00E51856">
      <w:pPr>
        <w:widowControl w:val="0"/>
        <w:numPr>
          <w:ilvl w:val="1"/>
          <w:numId w:val="2"/>
        </w:numPr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Место нахождения Департамента: Россия, 628260, Тюменская область, Ханты-Мансийский автономный округ — Югра, город Югорск, улица 40 лет Победы, 11.</w:t>
      </w:r>
    </w:p>
    <w:p w:rsidR="00F927EA" w:rsidRPr="00F927EA" w:rsidRDefault="00F927EA" w:rsidP="00F927EA">
      <w:pPr>
        <w:widowControl w:val="0"/>
        <w:ind w:left="15"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15"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2. Задачи Департамента</w:t>
      </w:r>
    </w:p>
    <w:p w:rsidR="00F927EA" w:rsidRPr="00F927EA" w:rsidRDefault="00F927EA" w:rsidP="00F927EA">
      <w:pPr>
        <w:widowControl w:val="0"/>
        <w:ind w:left="15"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15"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Основными задачами Департамента являются:</w:t>
      </w:r>
    </w:p>
    <w:p w:rsidR="00F927EA" w:rsidRPr="00F927EA" w:rsidRDefault="00F927EA" w:rsidP="00E51856">
      <w:pPr>
        <w:pStyle w:val="a6"/>
        <w:widowControl w:val="0"/>
        <w:numPr>
          <w:ilvl w:val="0"/>
          <w:numId w:val="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распоряжение земельными участками, государственная собственность на которые не разграничена;</w:t>
      </w:r>
    </w:p>
    <w:p w:rsidR="00F927EA" w:rsidRPr="00F927EA" w:rsidRDefault="00F927EA" w:rsidP="00E51856">
      <w:pPr>
        <w:pStyle w:val="a6"/>
        <w:widowControl w:val="0"/>
        <w:numPr>
          <w:ilvl w:val="0"/>
          <w:numId w:val="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мероприятий по охране окружающей среды в границах городского округа;</w:t>
      </w:r>
    </w:p>
    <w:p w:rsidR="00F927EA" w:rsidRPr="00F927EA" w:rsidRDefault="00F927EA" w:rsidP="00E51856">
      <w:pPr>
        <w:pStyle w:val="a6"/>
        <w:widowControl w:val="0"/>
        <w:numPr>
          <w:ilvl w:val="0"/>
          <w:numId w:val="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архитектурно-градостроительной политики в городском округе;</w:t>
      </w:r>
    </w:p>
    <w:p w:rsidR="00F927EA" w:rsidRPr="00F927EA" w:rsidRDefault="00F927EA" w:rsidP="00E51856">
      <w:pPr>
        <w:pStyle w:val="a6"/>
        <w:widowControl w:val="0"/>
        <w:numPr>
          <w:ilvl w:val="0"/>
          <w:numId w:val="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регулирование отдельных отношений в области рекламной деятельности в границах городского округа.</w:t>
      </w:r>
    </w:p>
    <w:p w:rsidR="00F927EA" w:rsidRPr="00F927EA" w:rsidRDefault="00F927EA" w:rsidP="00F927EA">
      <w:pPr>
        <w:widowControl w:val="0"/>
        <w:ind w:firstLine="69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3. Полномочия Департамента</w:t>
      </w:r>
    </w:p>
    <w:p w:rsidR="00F927EA" w:rsidRPr="00F927EA" w:rsidRDefault="00F927EA" w:rsidP="00F927EA">
      <w:pPr>
        <w:widowControl w:val="0"/>
        <w:ind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625BD" w:rsidRDefault="00F927EA" w:rsidP="00E51856">
      <w:pPr>
        <w:pStyle w:val="a6"/>
        <w:widowControl w:val="0"/>
        <w:numPr>
          <w:ilvl w:val="1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области эффективного управления, владения, пользования и распоряжения муниципальным имуществом, включая земли, находящиеся в муниципальной собственности, городские леса, водные объекты, расположенные в границах городского округа, а также распоряжения земельными участками, государственная собственность на которые не разграничена: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управление и распоряжение имуществом, находящимся в собственности муниципального образования городской округ город Югорск;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прогнозного перечня муниципального имущества, подлежащего приватизации, и условий приватизации муниципального имущества;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ведение реестра муниципального имущества в порядке, установленном уполномоченным Правительством Российской Федерации органом исполнительной власти;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формирование, ведение и опубликование перечня муниципального имущества, предоставляемого во владение и (или) пользование субъектам малого и среднего предпринимательства;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учета муниципального жилищного фонда;</w:t>
      </w:r>
      <w:bookmarkStart w:id="1" w:name="sub_140017"/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подготовка и оформление документов для проведения государственной регистрации права муниципальной собственности на недвижимое имущество, сделок с муниципальным недвижимым имуществом, </w:t>
      </w:r>
      <w:bookmarkEnd w:id="1"/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внесения изменений в Единый государственный реестр прав на недвижимое имущество и сделок с ним в отношении объектов муниципальной собственности;</w:t>
      </w:r>
    </w:p>
    <w:p w:rsidR="00F625B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управление и распоряжение земельными участками, находящимися в муниципальной собственности, а также распоряжение земельными участками, государственная собственность на которые не разграничена;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625B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резервирования земель и изъятия земельных участков в границах города Югорска для муниципальных нужд;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разработка проекта решения об изъятии земельного участка, не используемого по целевому назначению или используемого с нарушением законодательства Российской Федерации; </w:t>
      </w:r>
    </w:p>
    <w:p w:rsidR="009D416D" w:rsidRP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организация разработки и реализации местных программ </w:t>
      </w: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lastRenderedPageBreak/>
        <w:t>использования и охраны земель;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proofErr w:type="gramStart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торгов (конкурсов, аукционов) по продаже земельных участков, находящихся в муниципальной собственности или государственная собственность на которые не разграничена, или права на заключение договоров аренды таких земельных участков, заключение договоров по результатам торгов, а также заключение договоров аренды, безвозмездного срочного пользования, купли-продажи земельных участков, находящихся в муниципальной собственности или государственная собственность на которые не разграничена, без проведения торгов в случаях</w:t>
      </w:r>
      <w:proofErr w:type="gramEnd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, </w:t>
      </w:r>
      <w:proofErr w:type="gramStart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предусмотренных</w:t>
      </w:r>
      <w:proofErr w:type="gramEnd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Земельным кодексом Российской Федерации;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proofErr w:type="gramStart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аукционов по продаже права на заключение договоров аренды лесных участков или купли-продажи лесных насаждений, расположенных на землях, находящихся в муниципальной собственности или государственная собственность на которые не разграничена, заключение договоров по результатам аукциона, а также заключение договоров аренды лесных участков или купли-продажи лесных насаждений без проведения аукционов в случаях, предусмотренных Лесным кодексом Российской Федерации;</w:t>
      </w:r>
      <w:proofErr w:type="gramEnd"/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разработки и утверждения лесохозяйственных регламентов, а также проведения муниципальной экспертизы проектов освоения лесов;</w:t>
      </w:r>
    </w:p>
    <w:p w:rsidR="009D416D" w:rsidRDefault="00761DE2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утратил силу</w:t>
      </w:r>
      <w:r w:rsidR="00F927EA"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;</w:t>
      </w:r>
    </w:p>
    <w:p w:rsidR="009D416D" w:rsidRDefault="00761DE2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bookmarkStart w:id="2" w:name="sub_502"/>
      <w:r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утратил силу</w:t>
      </w:r>
      <w:r w:rsidR="00F927EA"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;</w:t>
      </w:r>
      <w:bookmarkStart w:id="3" w:name="sub_504"/>
      <w:bookmarkEnd w:id="2"/>
    </w:p>
    <w:p w:rsidR="009D416D" w:rsidRDefault="00761DE2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утратил силу</w:t>
      </w:r>
      <w:r w:rsidR="00F927EA"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;</w:t>
      </w:r>
      <w:bookmarkEnd w:id="3"/>
    </w:p>
    <w:p w:rsidR="009D416D" w:rsidRP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t>организация учета городских лесов;</w:t>
      </w:r>
    </w:p>
    <w:p w:rsidR="009D416D" w:rsidRPr="009D416D" w:rsidRDefault="00761DE2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187114">
        <w:rPr>
          <w:rFonts w:ascii="PT Astra Serif" w:hAnsi="PT Astra Serif"/>
          <w:sz w:val="26"/>
          <w:szCs w:val="26"/>
        </w:rPr>
        <w:t xml:space="preserve">осуществление мероприятий по лесоустройству в </w:t>
      </w:r>
      <w:proofErr w:type="gramStart"/>
      <w:r w:rsidRPr="00187114">
        <w:rPr>
          <w:rFonts w:ascii="PT Astra Serif" w:hAnsi="PT Astra Serif"/>
          <w:sz w:val="26"/>
          <w:szCs w:val="26"/>
        </w:rPr>
        <w:t>отношении</w:t>
      </w:r>
      <w:proofErr w:type="gramEnd"/>
      <w:r w:rsidRPr="00187114">
        <w:rPr>
          <w:rFonts w:ascii="PT Astra Serif" w:hAnsi="PT Astra Serif"/>
          <w:sz w:val="26"/>
          <w:szCs w:val="26"/>
        </w:rPr>
        <w:t xml:space="preserve"> лесов, расположенных на землях населенных пунктов городского округа</w:t>
      </w:r>
      <w:r w:rsidR="00F927EA" w:rsidRPr="009D416D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t>;</w:t>
      </w:r>
      <w:bookmarkStart w:id="4" w:name="sub_2711"/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владение, пользование, распоряжение водными объектами, находящимися в муниципальной собственности;</w:t>
      </w:r>
      <w:bookmarkStart w:id="5" w:name="sub_2713"/>
      <w:bookmarkEnd w:id="4"/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мер по охране водных объектов, находящихся в муниципальной собственности;</w:t>
      </w:r>
      <w:bookmarkEnd w:id="5"/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разработки и установления</w:t>
      </w:r>
      <w:bookmarkStart w:id="6" w:name="sub_2714"/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ставок платы за пользование такими водными объектами, порядка расчета и взимания этой платы;</w:t>
      </w:r>
      <w:bookmarkEnd w:id="6"/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правил  использования водных объектов общего пользования для личных и бытовых нужд;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информирование населения об ограничениях водопользования на водных объектах общего пользования, расположенных на территории городского округа;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свободного доступа граждан к водным объектам общего пользования и их береговым полосам;</w:t>
      </w:r>
    </w:p>
    <w:p w:rsidR="009D416D" w:rsidRDefault="00F927EA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владение, пользование, распоряжение лесными участками, находящимися в муниципальной собственности, а также распоряжение лесными участками, государственная собственн</w:t>
      </w:r>
      <w:r w:rsidR="00761DE2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ость на которые не разграничена;</w:t>
      </w:r>
    </w:p>
    <w:p w:rsidR="00761DE2" w:rsidRDefault="00761DE2" w:rsidP="00E51856">
      <w:pPr>
        <w:pStyle w:val="a6"/>
        <w:widowControl w:val="0"/>
        <w:numPr>
          <w:ilvl w:val="2"/>
          <w:numId w:val="4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187114">
        <w:rPr>
          <w:rFonts w:ascii="PT Astra Serif" w:hAnsi="PT Astra Serif"/>
          <w:sz w:val="26"/>
          <w:szCs w:val="26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 муниципального, городского округа, установлении и изменении их границ, а также осуществление разработки и утверждения лесохозяйственных регламентов лесничеств, расположенных на землях населенных пунктов</w:t>
      </w:r>
      <w:r>
        <w:rPr>
          <w:rFonts w:ascii="PT Astra Serif" w:hAnsi="PT Astra Serif"/>
          <w:sz w:val="26"/>
          <w:szCs w:val="26"/>
        </w:rPr>
        <w:t>.</w:t>
      </w:r>
    </w:p>
    <w:p w:rsidR="000B1613" w:rsidRPr="000B1613" w:rsidRDefault="00F927EA" w:rsidP="00E51856">
      <w:pPr>
        <w:pStyle w:val="a6"/>
        <w:widowControl w:val="0"/>
        <w:numPr>
          <w:ilvl w:val="0"/>
          <w:numId w:val="5"/>
        </w:numPr>
        <w:tabs>
          <w:tab w:val="num" w:pos="0"/>
        </w:tabs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9D416D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t xml:space="preserve">В области организации мероприятий по охране окружающей среды в </w:t>
      </w:r>
      <w:proofErr w:type="gramStart"/>
      <w:r w:rsidRPr="009D416D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lastRenderedPageBreak/>
        <w:t>границах</w:t>
      </w:r>
      <w:proofErr w:type="gramEnd"/>
      <w:r w:rsidRPr="009D416D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t xml:space="preserve"> городского округа:</w:t>
      </w:r>
    </w:p>
    <w:p w:rsid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0B1613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проектов муниципальных правовых актов в области охраны</w:t>
      </w:r>
      <w:r w:rsidR="00730DC1" w:rsidRPr="000B1613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</w:t>
      </w:r>
      <w:r w:rsidRPr="000B1613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окружающей среды;</w:t>
      </w:r>
    </w:p>
    <w:p w:rsid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</w:t>
      </w:r>
      <w:r w:rsidR="00761DE2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тка и реализация муниципальных </w:t>
      </w: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программ охраны окружающей среды и планов мероприятий в области охраны окружающей среды;</w:t>
      </w:r>
    </w:p>
    <w:p w:rsid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проектов программ и планов социально-экономического развития города Югорска в части вопросов охраны окружающей среды;</w:t>
      </w:r>
    </w:p>
    <w:p w:rsid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участие в развитии системы экологического образования, воспитания и формирование экологической культуры населения города;</w:t>
      </w:r>
    </w:p>
    <w:p w:rsid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сбор, анализ и оценка информации о состоянии окружающей среды в границах муниципального образования городской округ город Югорск;</w:t>
      </w:r>
    </w:p>
    <w:p w:rsidR="00F927EA" w:rsidRPr="00414EAC" w:rsidRDefault="00F927EA" w:rsidP="00E51856">
      <w:pPr>
        <w:pStyle w:val="a6"/>
        <w:widowControl w:val="0"/>
        <w:numPr>
          <w:ilvl w:val="0"/>
          <w:numId w:val="8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414EAC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порядка накопления твердых коммунальных отходов (в том числе их раздельного накопления).</w:t>
      </w:r>
    </w:p>
    <w:p w:rsidR="00525656" w:rsidRDefault="00F927EA" w:rsidP="00E51856">
      <w:pPr>
        <w:pStyle w:val="a6"/>
        <w:widowControl w:val="0"/>
        <w:numPr>
          <w:ilvl w:val="0"/>
          <w:numId w:val="9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  <w:t>В области осуществления архитектурно – градостроительной политики в городском округе: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обеспечение разработки и утверждения генерального плана города Югорска, правил землепользования и </w:t>
      </w:r>
      <w:proofErr w:type="gramStart"/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застройки города</w:t>
      </w:r>
      <w:proofErr w:type="gramEnd"/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Югорска;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подготовки и утверждения документации по планировке территории, в случаях предусмотренных Градостроительным кодексом Российской Федерации;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и обеспечение утверждения местных нормативов градостроительного проектирования города Югорска;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обеспечение разработки и </w:t>
      </w:r>
      <w:r w:rsidRPr="00525656">
        <w:rPr>
          <w:rFonts w:ascii="PT Astra Serif" w:eastAsia="Times New Roman CYR" w:hAnsi="PT Astra Serif" w:cs="Times New Roman"/>
          <w:kern w:val="1"/>
          <w:sz w:val="26"/>
          <w:szCs w:val="26"/>
          <w:lang w:eastAsia="ru-RU"/>
        </w:rPr>
        <w:t xml:space="preserve">утверждения </w:t>
      </w: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правил благоустройства территории городского округа;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города Югорска;</w:t>
      </w:r>
    </w:p>
    <w:p w:rsidR="00525656" w:rsidRPr="000205BF" w:rsidRDefault="00761DE2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hyperlink r:id="rId10" w:anchor="/document/73751804/entry/1000" w:history="1">
        <w:r w:rsidRPr="000205BF">
          <w:rPr>
            <w:rStyle w:val="a7"/>
            <w:rFonts w:ascii="PT Astra Serif" w:hAnsi="PT Astra Serif"/>
            <w:color w:val="auto"/>
            <w:sz w:val="26"/>
            <w:szCs w:val="26"/>
            <w:u w:val="none"/>
          </w:rPr>
          <w:t>ведение</w:t>
        </w:r>
      </w:hyperlink>
      <w:r w:rsidRPr="000205BF">
        <w:rPr>
          <w:rFonts w:ascii="PT Astra Serif" w:hAnsi="PT Astra Serif"/>
          <w:sz w:val="26"/>
          <w:szCs w:val="26"/>
        </w:rPr>
        <w:t xml:space="preserve">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территориях городских округов, и предоставление сведений, документов и материалов, содержащихся в государственных информационных системах обеспечения</w:t>
      </w:r>
      <w:r w:rsidRPr="000205BF">
        <w:rPr>
          <w:rFonts w:ascii="PT Astra Serif" w:hAnsi="PT Astra Serif"/>
          <w:sz w:val="26"/>
          <w:szCs w:val="26"/>
        </w:rPr>
        <w:t xml:space="preserve"> градостроительной деятельности</w:t>
      </w:r>
      <w:r w:rsidR="00F927EA" w:rsidRPr="000205BF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</w:t>
      </w: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shd w:val="clear" w:color="auto" w:fill="FFFFFF"/>
          <w:lang w:eastAsia="ru-RU"/>
        </w:rPr>
        <w:t>одготовка предложений  о развитии застроенной территории и комплексном развитии территории;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работы по подготовке решений о развитии застроенных территорий,  комплексном развитии по инициативе органа местного самоуправления;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заключения договоров о комплексном развитии территории по инициативе правообладателей земельных участков и (или) расположенных на них объектов недвижимости, а также  договоров о комплексном развитии территории по инициативе органа местного самоуправления;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Times New Roman" w:hAnsi="PT Astra Serif" w:cs="Times New Roman"/>
          <w:kern w:val="1"/>
          <w:sz w:val="26"/>
          <w:szCs w:val="26"/>
          <w:lang w:eastAsia="ru-RU"/>
        </w:rPr>
        <w:t xml:space="preserve">проведение осмотра зданий, сооружений на предмет их технического состояния и надлежащего технического обслуживания в соответствии с требованиями технических регламентов, предъявляемыми к конструктивным и другим характеристикам надежности и безопасности указанных объектов, </w:t>
      </w:r>
      <w:r w:rsidRPr="00525656">
        <w:rPr>
          <w:rFonts w:ascii="PT Astra Serif" w:eastAsia="Times New Roman" w:hAnsi="PT Astra Serif" w:cs="Times New Roman"/>
          <w:kern w:val="1"/>
          <w:sz w:val="26"/>
          <w:szCs w:val="26"/>
          <w:lang w:eastAsia="ru-RU"/>
        </w:rPr>
        <w:lastRenderedPageBreak/>
        <w:t>требованиями проектной документации, выдача рекомендаций о мерах по устранению выявленных нарушений в случаях, предусмотренных Градостроительным кодексом Российской Федерации;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участие  в согласовании схем расположения объектов газоснабжения, используемых для обеспечения населения газом; 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принятия решений о переводе жилых помещений в нежилые помещения и нежилых помещений в жилые помещения;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участие в  согласовании переустройства и перепланировки помещений в многоквартирном доме;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Times New Roman" w:hAnsi="PT Astra Serif" w:cs="Times New Roman"/>
          <w:sz w:val="26"/>
          <w:szCs w:val="26"/>
          <w:lang w:eastAsia="ar-SA"/>
        </w:rPr>
        <w:t>обеспечение установления порядка участия собственников зданий (помещений в них) и сооружений в благоустройстве прилегающих территорий;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присвоения адресов объектам адресации, изменения, аннулирования адресов, присвоения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обеспечение изменения, аннулирования таких наименований;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ведение единого адресного плана города Югорска;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установки указателей с наименованиями улиц и номерами домов на территории города Югорска;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proofErr w:type="gramStart"/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уведомлений о несоответствии указанных в уведомлениях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</w:t>
      </w:r>
      <w:proofErr w:type="gramEnd"/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или садового дома на земельном участке;</w:t>
      </w:r>
    </w:p>
    <w:p w:rsidR="00525656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направление уведомления о соответствии или несоответствии построенного или реконструированного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объекта индивидуального жилищного строительства или садового дома на земельном участке, расположенного на территории городского округа;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0"/>
        </w:numPr>
        <w:ind w:left="0" w:firstLine="709"/>
        <w:jc w:val="both"/>
        <w:rPr>
          <w:rFonts w:ascii="PT Astra Serif" w:eastAsia="Lucida Sans Unicode" w:hAnsi="PT Astra Serif" w:cs="Times New Roman"/>
          <w:color w:val="000000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проекта решения о сносе самовольной постройки, решения о сносе самовольной постройки или ее приведении в соответствие с установленными требованиями.</w:t>
      </w:r>
    </w:p>
    <w:p w:rsidR="00F927EA" w:rsidRPr="00525656" w:rsidRDefault="00F927EA" w:rsidP="00E51856">
      <w:pPr>
        <w:pStyle w:val="a6"/>
        <w:widowControl w:val="0"/>
        <w:numPr>
          <w:ilvl w:val="1"/>
          <w:numId w:val="5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части регулирования отдельных отношений в области рекламной деятельности в границах городского округа:</w:t>
      </w:r>
    </w:p>
    <w:p w:rsidR="00525656" w:rsidRDefault="00F927EA" w:rsidP="00E51856">
      <w:pPr>
        <w:pStyle w:val="a6"/>
        <w:widowControl w:val="0"/>
        <w:numPr>
          <w:ilvl w:val="0"/>
          <w:numId w:val="11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выдача разрешений на установку и эксплуатацию рекламных конструкций на территории города Югорска, аннулирование таких разрешений, выдача предписаний о демонтаже </w:t>
      </w:r>
      <w:r w:rsidRPr="00525656">
        <w:rPr>
          <w:rFonts w:ascii="PT Astra Serif" w:eastAsia="Times New Roman" w:hAnsi="PT Astra Serif" w:cs="Times New Roman"/>
          <w:kern w:val="1"/>
          <w:sz w:val="26"/>
          <w:szCs w:val="26"/>
          <w:lang w:eastAsia="ru-RU"/>
        </w:rPr>
        <w:t>рекламных конструкций,  установленных и (или) эксплуатируемых  без разрешения, срок действия которого не истек,</w:t>
      </w: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 на территории города Югорска;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1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 xml:space="preserve">организация аукционов на заключение договоров на установку и эксплуатацию рекламной конструкции на объектах недвижимости, находящихся в муниципальной собственности, на земельных участках, государственная </w:t>
      </w: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lastRenderedPageBreak/>
        <w:t xml:space="preserve">собственность на которые не разграничена, а также заключение таких договоров по результатам аукционов. 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2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части осуществления иных полномочий: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представление интересов муниципального образования городской округ город Югорск в суде, арбитражном суде по вопросам, отнесенным к компетенции Департамента настоящим Положением и иными муниципальными правовыми актами;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рассмотрение обращений граждан и юридических лиц в пределах предоставленных полномочий;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разработка нормативного обеспечения по предмету деятельности Департамента;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совершение сделок, необходимых для выполнения полномочий Департамента;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функций муниципального заказчика при осуществлении закупок товаров, работ, услуг для обеспечения муниципальных нужд;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функций главного распорядителя бюджетных средств в отношении подведомственных учреждений с бюджетными полномочиями в соответствии с Бюджетным кодексом Российской Федерации;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вовлечение в инвестиционный процесс временно приостановленных и законсервированных строек и объектов, находящихся в муниципальной собственности;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участие в создании благоприятных условий для развития инвестиционной деятельности на территории города Югорска в сфере деятельности Департамента;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предоставление субъектам инвестиционной деятельности не противоречащих законодательству Российской Федерации льготных условий пользования землей и другими природными ресурсами, находящимися в муниципальной собственности;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организация выполнения юридическими лицами и физическими лицами требований к антитеррористической защищенности объектов (территорий), находящихся в собственности (ведении) муниципального образован</w:t>
      </w:r>
      <w:r w:rsid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ия городской округ город Югорск;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обеспечение выполнения требований к антитеррористической защищенности муниципальных учреждений, подведомственных Департаменту;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участие в профилактике терроризма и экстремизма, а также в минимизации и (или) ликвидации последствий проявления терроризма и экстремизма в границах городского округа, в пределах полномочий Департамента;</w:t>
      </w:r>
    </w:p>
    <w:p w:rsid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участие в мероприятиях по профилактике терроризма, а также по минимизации и (или) ликвидации последствий его проявлений, организуемых федеральными органами исполнительной власти и (или) исполнительными органами государственной власти Ханты-Мансийского автономного округа – Югры;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3"/>
        </w:numPr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осуществление иных полномочий, предусмотренных законодательством Российской Федерации, Ханты-Мансийского автономного округа — Югры, муниципальными правовыми актами.</w:t>
      </w:r>
    </w:p>
    <w:p w:rsidR="00F927EA" w:rsidRPr="00F927EA" w:rsidRDefault="00F927EA" w:rsidP="00F927EA">
      <w:pPr>
        <w:widowControl w:val="0"/>
        <w:autoSpaceDE w:val="0"/>
        <w:ind w:firstLine="709"/>
        <w:jc w:val="both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autoSpaceDE w:val="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4. Структура и организация деятельности Департамента</w:t>
      </w:r>
    </w:p>
    <w:p w:rsidR="00F927EA" w:rsidRPr="00F927EA" w:rsidRDefault="00F927EA" w:rsidP="00F927EA">
      <w:pPr>
        <w:widowControl w:val="0"/>
        <w:autoSpaceDE w:val="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525656" w:rsidRDefault="00F927EA" w:rsidP="00E51856">
      <w:pPr>
        <w:pStyle w:val="a6"/>
        <w:widowControl w:val="0"/>
        <w:numPr>
          <w:ilvl w:val="0"/>
          <w:numId w:val="14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структуру Департамента входят:</w:t>
      </w:r>
    </w:p>
    <w:p w:rsid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земельных ресурсов по работе с юридическими лицами;</w:t>
      </w:r>
    </w:p>
    <w:p w:rsid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земельных ресурсов по работе с физическими лицами;</w:t>
      </w:r>
    </w:p>
    <w:p w:rsid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по управлению муниципальным имуществом;</w:t>
      </w:r>
    </w:p>
    <w:p w:rsid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по охране окружающей среды;</w:t>
      </w:r>
    </w:p>
    <w:p w:rsid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юридический отдел;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5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управление архитектуры и градостроительства.</w:t>
      </w:r>
    </w:p>
    <w:p w:rsidR="00F927EA" w:rsidRPr="00525656" w:rsidRDefault="00F927EA" w:rsidP="00E51856">
      <w:pPr>
        <w:pStyle w:val="a6"/>
        <w:widowControl w:val="0"/>
        <w:numPr>
          <w:ilvl w:val="0"/>
          <w:numId w:val="16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структуру управления архитектуры и градостроительства входят:</w:t>
      </w:r>
    </w:p>
    <w:p w:rsidR="00F939E4" w:rsidRDefault="00F927EA" w:rsidP="00E51856">
      <w:pPr>
        <w:pStyle w:val="a6"/>
        <w:widowControl w:val="0"/>
        <w:numPr>
          <w:ilvl w:val="0"/>
          <w:numId w:val="17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525656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по ведению информационных систем обеспечения градостроительной деятельности;</w:t>
      </w:r>
    </w:p>
    <w:p w:rsidR="00F939E4" w:rsidRDefault="00F927EA" w:rsidP="00E51856">
      <w:pPr>
        <w:pStyle w:val="a6"/>
        <w:widowControl w:val="0"/>
        <w:numPr>
          <w:ilvl w:val="0"/>
          <w:numId w:val="17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по работе с юридическими лицами;</w:t>
      </w:r>
    </w:p>
    <w:p w:rsidR="00F927EA" w:rsidRPr="00F939E4" w:rsidRDefault="00F927EA" w:rsidP="00E51856">
      <w:pPr>
        <w:pStyle w:val="a6"/>
        <w:widowControl w:val="0"/>
        <w:numPr>
          <w:ilvl w:val="0"/>
          <w:numId w:val="17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отдел по работе с физическими лицами.</w:t>
      </w:r>
    </w:p>
    <w:p w:rsidR="00F927EA" w:rsidRPr="00F939E4" w:rsidRDefault="00F927EA" w:rsidP="00E51856">
      <w:pPr>
        <w:pStyle w:val="a6"/>
        <w:widowControl w:val="0"/>
        <w:numPr>
          <w:ilvl w:val="0"/>
          <w:numId w:val="18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Департамент возглавляет первый заместитель главы города – директор Департамента муниципальной собственности и градостроительства (далее – директор Департамента), который назначается на должность по результатам конкурса на замещение вакантной должности или из резерва управленческих кадров и освобождается от должности главой города Югорска.</w:t>
      </w:r>
    </w:p>
    <w:p w:rsidR="00F939E4" w:rsidRDefault="00F927EA" w:rsidP="00F939E4">
      <w:pPr>
        <w:widowControl w:val="0"/>
        <w:autoSpaceDE w:val="0"/>
        <w:ind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Работу структурных подразделений возглавляют руководители структурных подразделений.</w:t>
      </w:r>
    </w:p>
    <w:p w:rsidR="00F939E4" w:rsidRDefault="00F927EA" w:rsidP="00E51856">
      <w:pPr>
        <w:pStyle w:val="a6"/>
        <w:widowControl w:val="0"/>
        <w:numPr>
          <w:ilvl w:val="1"/>
          <w:numId w:val="19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Директор Департамента осуществляет руководство Департаментом, несет ответственность за выполнение возложенных на Департамент задач и функций, самостоятельно принимает решения по вопросам, отнесенным к сфере деятельности Департамента.</w:t>
      </w:r>
    </w:p>
    <w:p w:rsidR="00F927EA" w:rsidRPr="00F939E4" w:rsidRDefault="00F927EA" w:rsidP="00E51856">
      <w:pPr>
        <w:pStyle w:val="a6"/>
        <w:widowControl w:val="0"/>
        <w:numPr>
          <w:ilvl w:val="0"/>
          <w:numId w:val="20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Директор Департамента:</w:t>
      </w:r>
    </w:p>
    <w:p w:rsid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действует без доверенности от имени Департамента, представляет его во всех органах государственной власти, организациях, предприятиях и учреждениях;</w:t>
      </w:r>
    </w:p>
    <w:p w:rsid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выдает от имени Департамента доверенности;</w:t>
      </w:r>
    </w:p>
    <w:p w:rsid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издает приказы, дает поручения и указания в пределах полномочий Департамента;</w:t>
      </w:r>
    </w:p>
    <w:p w:rsid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определяет должностные обязанности работников Департамента;</w:t>
      </w:r>
    </w:p>
    <w:p w:rsid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согласовывает назначение и освобождение от должности в соответствии с трудовым законодательством Российской Федерации работников Департамента;</w:t>
      </w:r>
    </w:p>
    <w:p w:rsidR="00F927EA" w:rsidRPr="00F939E4" w:rsidRDefault="00F927EA" w:rsidP="00E51856">
      <w:pPr>
        <w:pStyle w:val="a6"/>
        <w:widowControl w:val="0"/>
        <w:numPr>
          <w:ilvl w:val="0"/>
          <w:numId w:val="21"/>
        </w:numPr>
        <w:tabs>
          <w:tab w:val="left" w:pos="993"/>
        </w:tabs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определяет основные направления деятельности Департамента, обеспечивает выполнение текущих и перспективных планов работ структурных подразделений Департамента.</w:t>
      </w:r>
    </w:p>
    <w:p w:rsidR="00F927EA" w:rsidRPr="00F939E4" w:rsidRDefault="00F927EA" w:rsidP="00E51856">
      <w:pPr>
        <w:pStyle w:val="a6"/>
        <w:widowControl w:val="0"/>
        <w:numPr>
          <w:ilvl w:val="0"/>
          <w:numId w:val="22"/>
        </w:numPr>
        <w:autoSpaceDE w:val="0"/>
        <w:ind w:left="0"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39E4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В случае отсутствия Директора Департамента (командировка, отпуск, временная нетрудоспособность) его обязанности временно исполняет заместитель директора Департамента на основании распоряжения администрации города Югорска.</w:t>
      </w:r>
    </w:p>
    <w:p w:rsidR="00F927EA" w:rsidRPr="00F927EA" w:rsidRDefault="00F927EA" w:rsidP="00F927EA">
      <w:pPr>
        <w:widowControl w:val="0"/>
        <w:autoSpaceDE w:val="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3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5. Финансовое обеспечение Департамента</w:t>
      </w:r>
    </w:p>
    <w:p w:rsidR="00F927EA" w:rsidRPr="00F927EA" w:rsidRDefault="00F927EA" w:rsidP="00F927EA">
      <w:pPr>
        <w:widowControl w:val="0"/>
        <w:ind w:left="3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Финансовое обеспечение деятельности Департамента осуществляется в пределах бюджетных ассигнований, предусмотренных в бюджете города Югорска в соответствии со сводной бюджетной росписью на очередной финансовый год и плановый период, установленных лимитов бюджетных обязательств и объемов финансирования.</w:t>
      </w:r>
    </w:p>
    <w:p w:rsidR="00F927EA" w:rsidRPr="00F927EA" w:rsidRDefault="00F927EA" w:rsidP="00F927EA">
      <w:pPr>
        <w:widowControl w:val="0"/>
        <w:ind w:left="3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lastRenderedPageBreak/>
        <w:tab/>
      </w:r>
    </w:p>
    <w:p w:rsidR="00F927EA" w:rsidRPr="00F927EA" w:rsidRDefault="00F927EA" w:rsidP="00F927EA">
      <w:pPr>
        <w:widowControl w:val="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6. Порядок реорганизации и ликвидации Департамента</w:t>
      </w:r>
    </w:p>
    <w:p w:rsidR="00F927EA" w:rsidRPr="00F927EA" w:rsidRDefault="00F927EA" w:rsidP="00F927EA">
      <w:pPr>
        <w:widowControl w:val="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firstLine="709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Реорганизация и ликвидация Департамента осуществляются в порядке, установленном законодательством Российской Федерации, на основании решения Думы города Югорска.</w:t>
      </w:r>
    </w:p>
    <w:p w:rsidR="00F927EA" w:rsidRPr="00F927EA" w:rsidRDefault="00F927EA" w:rsidP="00F927EA">
      <w:pPr>
        <w:widowControl w:val="0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15"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  <w:t>7. Заключительные положения</w:t>
      </w:r>
    </w:p>
    <w:p w:rsidR="00F927EA" w:rsidRPr="00F927EA" w:rsidRDefault="00F927EA" w:rsidP="00F927EA">
      <w:pPr>
        <w:widowControl w:val="0"/>
        <w:ind w:left="15" w:firstLine="690"/>
        <w:jc w:val="center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F927EA">
      <w:pPr>
        <w:widowControl w:val="0"/>
        <w:ind w:left="15" w:firstLine="694"/>
        <w:jc w:val="both"/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</w:pPr>
      <w:r w:rsidRPr="00F927EA">
        <w:rPr>
          <w:rFonts w:ascii="PT Astra Serif" w:eastAsia="Lucida Sans Unicode" w:hAnsi="PT Astra Serif" w:cs="Times New Roman"/>
          <w:kern w:val="1"/>
          <w:sz w:val="26"/>
          <w:szCs w:val="26"/>
          <w:lang w:eastAsia="ru-RU"/>
        </w:rPr>
        <w:t>Изменения и дополнения в настоящее Положение вносятся решением Думы города Югорска и подлежат государственной регистрации в установленном законом порядке.</w:t>
      </w:r>
    </w:p>
    <w:p w:rsidR="00F927EA" w:rsidRPr="00F927EA" w:rsidRDefault="00F927EA" w:rsidP="00F927EA">
      <w:pPr>
        <w:widowControl w:val="0"/>
        <w:jc w:val="both"/>
        <w:rPr>
          <w:rFonts w:ascii="PT Astra Serif" w:eastAsia="Lucida Sans Unicode" w:hAnsi="PT Astra Serif" w:cs="Times New Roman"/>
          <w:b/>
          <w:bCs/>
          <w:kern w:val="1"/>
          <w:sz w:val="26"/>
          <w:szCs w:val="26"/>
          <w:lang w:eastAsia="ru-RU"/>
        </w:rPr>
      </w:pPr>
    </w:p>
    <w:p w:rsidR="00F927EA" w:rsidRPr="00F927EA" w:rsidRDefault="00F927EA" w:rsidP="00A319BE">
      <w:pPr>
        <w:tabs>
          <w:tab w:val="left" w:pos="789"/>
        </w:tabs>
        <w:jc w:val="both"/>
        <w:rPr>
          <w:rFonts w:ascii="PT Astra Serif" w:hAnsi="PT Astra Serif"/>
          <w:sz w:val="26"/>
          <w:szCs w:val="26"/>
        </w:rPr>
      </w:pPr>
    </w:p>
    <w:sectPr w:rsidR="00F927EA" w:rsidRPr="00F927EA" w:rsidSect="00F939E4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38BF" w:rsidRDefault="00B938BF" w:rsidP="00F939E4">
      <w:r>
        <w:separator/>
      </w:r>
    </w:p>
  </w:endnote>
  <w:endnote w:type="continuationSeparator" w:id="0">
    <w:p w:rsidR="00B938BF" w:rsidRDefault="00B938BF" w:rsidP="00F93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38BF" w:rsidRDefault="00B938BF" w:rsidP="00F939E4">
      <w:r>
        <w:separator/>
      </w:r>
    </w:p>
  </w:footnote>
  <w:footnote w:type="continuationSeparator" w:id="0">
    <w:p w:rsidR="00B938BF" w:rsidRDefault="00B938BF" w:rsidP="00F93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16907"/>
      <w:docPartObj>
        <w:docPartGallery w:val="Page Numbers (Top of Page)"/>
        <w:docPartUnique/>
      </w:docPartObj>
    </w:sdtPr>
    <w:sdtEndPr/>
    <w:sdtContent>
      <w:p w:rsidR="00F939E4" w:rsidRDefault="00F939E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591">
          <w:rPr>
            <w:noProof/>
          </w:rPr>
          <w:t>4</w:t>
        </w:r>
        <w:r>
          <w:fldChar w:fldCharType="end"/>
        </w:r>
      </w:p>
    </w:sdtContent>
  </w:sdt>
  <w:p w:rsidR="00F939E4" w:rsidRDefault="00F939E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9"/>
    <w:multiLevelType w:val="multilevel"/>
    <w:tmpl w:val="18306DA6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Lucida Sans Unicode" w:hAnsi="Times New Roman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3">
    <w:nsid w:val="037C6694"/>
    <w:multiLevelType w:val="multilevel"/>
    <w:tmpl w:val="03B6C306"/>
    <w:lvl w:ilvl="0">
      <w:start w:val="3"/>
      <w:numFmt w:val="decimal"/>
      <w:suff w:val="space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4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3A33D35"/>
    <w:multiLevelType w:val="multilevel"/>
    <w:tmpl w:val="0E32149A"/>
    <w:lvl w:ilvl="0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072846DD"/>
    <w:multiLevelType w:val="multilevel"/>
    <w:tmpl w:val="FAECD010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>
    <w:nsid w:val="0D4124D3"/>
    <w:multiLevelType w:val="multilevel"/>
    <w:tmpl w:val="A4EA224C"/>
    <w:styleLink w:val="2"/>
    <w:lvl w:ilvl="0">
      <w:start w:val="3"/>
      <w:numFmt w:val="decimal"/>
      <w:suff w:val="space"/>
      <w:lvlText w:val="%1.2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0EC01A14"/>
    <w:multiLevelType w:val="multilevel"/>
    <w:tmpl w:val="EE04B34C"/>
    <w:lvl w:ilvl="0">
      <w:start w:val="3"/>
      <w:numFmt w:val="decimal"/>
      <w:suff w:val="space"/>
      <w:lvlText w:val="%1.3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>
    <w:nsid w:val="124F15E0"/>
    <w:multiLevelType w:val="multilevel"/>
    <w:tmpl w:val="B6929C2C"/>
    <w:styleLink w:val="1"/>
    <w:lvl w:ilvl="0">
      <w:start w:val="3"/>
      <w:numFmt w:val="decimal"/>
      <w:suff w:val="space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13E864DC"/>
    <w:multiLevelType w:val="hybridMultilevel"/>
    <w:tmpl w:val="4EE2C5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BF01F9"/>
    <w:multiLevelType w:val="multilevel"/>
    <w:tmpl w:val="6688FC08"/>
    <w:lvl w:ilvl="0">
      <w:start w:val="3"/>
      <w:numFmt w:val="none"/>
      <w:suff w:val="space"/>
      <w:lvlText w:val="4.4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1B610C93"/>
    <w:multiLevelType w:val="multilevel"/>
    <w:tmpl w:val="F75ACF12"/>
    <w:lvl w:ilvl="0">
      <w:start w:val="3"/>
      <w:numFmt w:val="none"/>
      <w:suff w:val="space"/>
      <w:lvlText w:val="4.5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9E45B4D"/>
    <w:multiLevelType w:val="hybridMultilevel"/>
    <w:tmpl w:val="1D80422C"/>
    <w:lvl w:ilvl="0" w:tplc="0868DD7A">
      <w:start w:val="1"/>
      <w:numFmt w:val="decimal"/>
      <w:lvlText w:val="%1)"/>
      <w:lvlJc w:val="left"/>
      <w:pPr>
        <w:tabs>
          <w:tab w:val="num" w:pos="1066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3">
    <w:nsid w:val="38C469D0"/>
    <w:multiLevelType w:val="multilevel"/>
    <w:tmpl w:val="5B6CCC4A"/>
    <w:lvl w:ilvl="0">
      <w:start w:val="1"/>
      <w:numFmt w:val="decimal"/>
      <w:suff w:val="space"/>
      <w:lvlText w:val="3.3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>
    <w:nsid w:val="3A365878"/>
    <w:multiLevelType w:val="multilevel"/>
    <w:tmpl w:val="E9ECC19A"/>
    <w:lvl w:ilvl="0">
      <w:start w:val="3"/>
      <w:numFmt w:val="none"/>
      <w:suff w:val="space"/>
      <w:lvlText w:val="4.2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18007D4"/>
    <w:multiLevelType w:val="multilevel"/>
    <w:tmpl w:val="44E0C9EA"/>
    <w:lvl w:ilvl="0">
      <w:start w:val="3"/>
      <w:numFmt w:val="decimal"/>
      <w:suff w:val="space"/>
      <w:lvlText w:val="%1.5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2E80C5B"/>
    <w:multiLevelType w:val="multilevel"/>
    <w:tmpl w:val="952406D0"/>
    <w:lvl w:ilvl="0">
      <w:start w:val="1"/>
      <w:numFmt w:val="decimal"/>
      <w:suff w:val="space"/>
      <w:lvlText w:val="3.5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>
    <w:nsid w:val="45325B2A"/>
    <w:multiLevelType w:val="multilevel"/>
    <w:tmpl w:val="D374B138"/>
    <w:lvl w:ilvl="0">
      <w:start w:val="3"/>
      <w:numFmt w:val="decimal"/>
      <w:suff w:val="space"/>
      <w:lvlText w:val="%1.2."/>
      <w:lvlJc w:val="left"/>
      <w:pPr>
        <w:ind w:left="720" w:hanging="360"/>
      </w:pPr>
      <w:rPr>
        <w:rFonts w:hint="default"/>
      </w:rPr>
    </w:lvl>
    <w:lvl w:ilvl="1">
      <w:start w:val="1"/>
      <w:numFmt w:val="none"/>
      <w:suff w:val="space"/>
      <w:lvlText w:val="4.3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4CD71485"/>
    <w:multiLevelType w:val="multilevel"/>
    <w:tmpl w:val="BBE02974"/>
    <w:lvl w:ilvl="0">
      <w:start w:val="3"/>
      <w:numFmt w:val="none"/>
      <w:suff w:val="space"/>
      <w:lvlText w:val="4.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4FB6330C"/>
    <w:multiLevelType w:val="multilevel"/>
    <w:tmpl w:val="13F02788"/>
    <w:lvl w:ilvl="0">
      <w:start w:val="1"/>
      <w:numFmt w:val="decimal"/>
      <w:suff w:val="space"/>
      <w:lvlText w:val="3.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none"/>
      <w:suff w:val="space"/>
      <w:lvlText w:val="3.2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7AE4C5E"/>
    <w:multiLevelType w:val="hybridMultilevel"/>
    <w:tmpl w:val="D7BA89C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D0764B"/>
    <w:multiLevelType w:val="multilevel"/>
    <w:tmpl w:val="1D0E08A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7AB4173B"/>
    <w:multiLevelType w:val="multilevel"/>
    <w:tmpl w:val="BFE2DC4C"/>
    <w:lvl w:ilvl="0">
      <w:start w:val="1"/>
      <w:numFmt w:val="decimal"/>
      <w:suff w:val="space"/>
      <w:lvlText w:val="4.1.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21"/>
  </w:num>
  <w:num w:numId="5">
    <w:abstractNumId w:val="3"/>
  </w:num>
  <w:num w:numId="6">
    <w:abstractNumId w:val="8"/>
  </w:num>
  <w:num w:numId="7">
    <w:abstractNumId w:val="6"/>
  </w:num>
  <w:num w:numId="8">
    <w:abstractNumId w:val="19"/>
  </w:num>
  <w:num w:numId="9">
    <w:abstractNumId w:val="7"/>
  </w:num>
  <w:num w:numId="10">
    <w:abstractNumId w:val="13"/>
  </w:num>
  <w:num w:numId="11">
    <w:abstractNumId w:val="4"/>
  </w:num>
  <w:num w:numId="12">
    <w:abstractNumId w:val="15"/>
  </w:num>
  <w:num w:numId="13">
    <w:abstractNumId w:val="16"/>
  </w:num>
  <w:num w:numId="14">
    <w:abstractNumId w:val="18"/>
  </w:num>
  <w:num w:numId="15">
    <w:abstractNumId w:val="20"/>
  </w:num>
  <w:num w:numId="16">
    <w:abstractNumId w:val="22"/>
  </w:num>
  <w:num w:numId="17">
    <w:abstractNumId w:val="5"/>
  </w:num>
  <w:num w:numId="18">
    <w:abstractNumId w:val="14"/>
  </w:num>
  <w:num w:numId="19">
    <w:abstractNumId w:val="17"/>
  </w:num>
  <w:num w:numId="20">
    <w:abstractNumId w:val="10"/>
  </w:num>
  <w:num w:numId="21">
    <w:abstractNumId w:val="9"/>
  </w:num>
  <w:num w:numId="22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07CD9"/>
    <w:rsid w:val="00010E5F"/>
    <w:rsid w:val="0001146E"/>
    <w:rsid w:val="000205BF"/>
    <w:rsid w:val="00043C66"/>
    <w:rsid w:val="00046675"/>
    <w:rsid w:val="00046D40"/>
    <w:rsid w:val="0005259D"/>
    <w:rsid w:val="00057BE1"/>
    <w:rsid w:val="00081790"/>
    <w:rsid w:val="00092571"/>
    <w:rsid w:val="000976F6"/>
    <w:rsid w:val="000A1224"/>
    <w:rsid w:val="000B1613"/>
    <w:rsid w:val="000B3C3D"/>
    <w:rsid w:val="000B7985"/>
    <w:rsid w:val="000C1879"/>
    <w:rsid w:val="000E3B14"/>
    <w:rsid w:val="000F6FBD"/>
    <w:rsid w:val="0010263D"/>
    <w:rsid w:val="00105DF5"/>
    <w:rsid w:val="00105FEF"/>
    <w:rsid w:val="00107E9A"/>
    <w:rsid w:val="00131C49"/>
    <w:rsid w:val="0014606A"/>
    <w:rsid w:val="001A217B"/>
    <w:rsid w:val="002072A0"/>
    <w:rsid w:val="00207F25"/>
    <w:rsid w:val="0021665A"/>
    <w:rsid w:val="00236173"/>
    <w:rsid w:val="00237667"/>
    <w:rsid w:val="002435FC"/>
    <w:rsid w:val="002831CD"/>
    <w:rsid w:val="00296805"/>
    <w:rsid w:val="002A5C3A"/>
    <w:rsid w:val="002A7CB2"/>
    <w:rsid w:val="002B0DF1"/>
    <w:rsid w:val="002C57CD"/>
    <w:rsid w:val="00311FEA"/>
    <w:rsid w:val="00316299"/>
    <w:rsid w:val="00320907"/>
    <w:rsid w:val="00326ECE"/>
    <w:rsid w:val="003551E9"/>
    <w:rsid w:val="00356865"/>
    <w:rsid w:val="00362B19"/>
    <w:rsid w:val="00362FF9"/>
    <w:rsid w:val="00373753"/>
    <w:rsid w:val="0037430B"/>
    <w:rsid w:val="003758B6"/>
    <w:rsid w:val="003802BF"/>
    <w:rsid w:val="003D4079"/>
    <w:rsid w:val="003D72CC"/>
    <w:rsid w:val="003F0621"/>
    <w:rsid w:val="003F4C3B"/>
    <w:rsid w:val="0040079A"/>
    <w:rsid w:val="00414EAC"/>
    <w:rsid w:val="00433464"/>
    <w:rsid w:val="00437FB3"/>
    <w:rsid w:val="004657C2"/>
    <w:rsid w:val="004A6FDE"/>
    <w:rsid w:val="004A7490"/>
    <w:rsid w:val="004B1A58"/>
    <w:rsid w:val="004E00DF"/>
    <w:rsid w:val="005075FA"/>
    <w:rsid w:val="00525656"/>
    <w:rsid w:val="00536A55"/>
    <w:rsid w:val="00536DD4"/>
    <w:rsid w:val="005412A0"/>
    <w:rsid w:val="0054427B"/>
    <w:rsid w:val="00561B84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2082E"/>
    <w:rsid w:val="00627470"/>
    <w:rsid w:val="00630AE8"/>
    <w:rsid w:val="00646A0F"/>
    <w:rsid w:val="006636D4"/>
    <w:rsid w:val="0066633E"/>
    <w:rsid w:val="00692344"/>
    <w:rsid w:val="00696CCD"/>
    <w:rsid w:val="006A32BD"/>
    <w:rsid w:val="006A71BD"/>
    <w:rsid w:val="006B7B3D"/>
    <w:rsid w:val="006C03F1"/>
    <w:rsid w:val="006C2777"/>
    <w:rsid w:val="006D0AA3"/>
    <w:rsid w:val="006F79AB"/>
    <w:rsid w:val="00710C89"/>
    <w:rsid w:val="0072056C"/>
    <w:rsid w:val="00730DC1"/>
    <w:rsid w:val="00737444"/>
    <w:rsid w:val="00761DE2"/>
    <w:rsid w:val="0076600C"/>
    <w:rsid w:val="00794784"/>
    <w:rsid w:val="007959F3"/>
    <w:rsid w:val="007B0679"/>
    <w:rsid w:val="007C53F6"/>
    <w:rsid w:val="007D5289"/>
    <w:rsid w:val="007E7957"/>
    <w:rsid w:val="007F4FE0"/>
    <w:rsid w:val="007F5797"/>
    <w:rsid w:val="008247A5"/>
    <w:rsid w:val="00851183"/>
    <w:rsid w:val="00855586"/>
    <w:rsid w:val="0086720A"/>
    <w:rsid w:val="00881680"/>
    <w:rsid w:val="008A584B"/>
    <w:rsid w:val="008C1840"/>
    <w:rsid w:val="008C7DA8"/>
    <w:rsid w:val="008E265B"/>
    <w:rsid w:val="008E7B2C"/>
    <w:rsid w:val="008F355A"/>
    <w:rsid w:val="008F4683"/>
    <w:rsid w:val="009263D8"/>
    <w:rsid w:val="00944532"/>
    <w:rsid w:val="009A74BA"/>
    <w:rsid w:val="009C7A47"/>
    <w:rsid w:val="009D416D"/>
    <w:rsid w:val="00A001E8"/>
    <w:rsid w:val="00A00A24"/>
    <w:rsid w:val="00A12DA5"/>
    <w:rsid w:val="00A23ECE"/>
    <w:rsid w:val="00A319BE"/>
    <w:rsid w:val="00A459C8"/>
    <w:rsid w:val="00A50DDD"/>
    <w:rsid w:val="00A9280F"/>
    <w:rsid w:val="00AA6893"/>
    <w:rsid w:val="00AB4B07"/>
    <w:rsid w:val="00AC6635"/>
    <w:rsid w:val="00AD786C"/>
    <w:rsid w:val="00AE7029"/>
    <w:rsid w:val="00B0037E"/>
    <w:rsid w:val="00B00C7E"/>
    <w:rsid w:val="00B077DD"/>
    <w:rsid w:val="00B07D4C"/>
    <w:rsid w:val="00B239EA"/>
    <w:rsid w:val="00B24E15"/>
    <w:rsid w:val="00B51713"/>
    <w:rsid w:val="00B6286B"/>
    <w:rsid w:val="00B938BF"/>
    <w:rsid w:val="00B9398F"/>
    <w:rsid w:val="00B97821"/>
    <w:rsid w:val="00BA10B9"/>
    <w:rsid w:val="00BD4F1C"/>
    <w:rsid w:val="00BF48D0"/>
    <w:rsid w:val="00C015B2"/>
    <w:rsid w:val="00C04795"/>
    <w:rsid w:val="00C23A72"/>
    <w:rsid w:val="00C26B94"/>
    <w:rsid w:val="00C46D8D"/>
    <w:rsid w:val="00C527A6"/>
    <w:rsid w:val="00C625D9"/>
    <w:rsid w:val="00C77F03"/>
    <w:rsid w:val="00C92677"/>
    <w:rsid w:val="00C94930"/>
    <w:rsid w:val="00CD3536"/>
    <w:rsid w:val="00CF0440"/>
    <w:rsid w:val="00CF292A"/>
    <w:rsid w:val="00CF4C08"/>
    <w:rsid w:val="00D000FB"/>
    <w:rsid w:val="00D17461"/>
    <w:rsid w:val="00D26E61"/>
    <w:rsid w:val="00D7189D"/>
    <w:rsid w:val="00D77A96"/>
    <w:rsid w:val="00DB5D3F"/>
    <w:rsid w:val="00DB5DF4"/>
    <w:rsid w:val="00DC1101"/>
    <w:rsid w:val="00E1410B"/>
    <w:rsid w:val="00E44548"/>
    <w:rsid w:val="00E51856"/>
    <w:rsid w:val="00E53A98"/>
    <w:rsid w:val="00E56AE4"/>
    <w:rsid w:val="00E63743"/>
    <w:rsid w:val="00E77591"/>
    <w:rsid w:val="00E97D4F"/>
    <w:rsid w:val="00EA036E"/>
    <w:rsid w:val="00EA4131"/>
    <w:rsid w:val="00EC4EF6"/>
    <w:rsid w:val="00EC60E5"/>
    <w:rsid w:val="00ED15B0"/>
    <w:rsid w:val="00EE2595"/>
    <w:rsid w:val="00EF0CDA"/>
    <w:rsid w:val="00EF515A"/>
    <w:rsid w:val="00EF7EC3"/>
    <w:rsid w:val="00F2646C"/>
    <w:rsid w:val="00F625BD"/>
    <w:rsid w:val="00F73751"/>
    <w:rsid w:val="00F918C8"/>
    <w:rsid w:val="00F927EA"/>
    <w:rsid w:val="00F93839"/>
    <w:rsid w:val="00F939E4"/>
    <w:rsid w:val="00FA1268"/>
    <w:rsid w:val="00FC090D"/>
    <w:rsid w:val="00FD0142"/>
    <w:rsid w:val="00FD3963"/>
    <w:rsid w:val="00FE255B"/>
    <w:rsid w:val="00FE2C32"/>
    <w:rsid w:val="00FF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0">
    <w:name w:val="heading 2"/>
    <w:basedOn w:val="a"/>
    <w:next w:val="a"/>
    <w:link w:val="21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</w:style>
  <w:style w:type="character" w:customStyle="1" w:styleId="50">
    <w:name w:val="Заголовок 5 Знак"/>
    <w:basedOn w:val="a0"/>
    <w:link w:val="5"/>
    <w:rsid w:val="005B2AEA"/>
    <w:rPr>
      <w:sz w:val="32"/>
    </w:rPr>
  </w:style>
  <w:style w:type="character" w:customStyle="1" w:styleId="60">
    <w:name w:val="Заголовок 6 Знак"/>
    <w:basedOn w:val="a0"/>
    <w:link w:val="6"/>
    <w:rsid w:val="005B2AEA"/>
    <w:rPr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">
    <w:name w:val="Стиль1"/>
    <w:uiPriority w:val="99"/>
    <w:rsid w:val="000B1613"/>
    <w:pPr>
      <w:numPr>
        <w:numId w:val="6"/>
      </w:numPr>
    </w:pPr>
  </w:style>
  <w:style w:type="numbering" w:customStyle="1" w:styleId="2">
    <w:name w:val="Стиль2"/>
    <w:uiPriority w:val="99"/>
    <w:rsid w:val="00414EAC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F939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39E4"/>
  </w:style>
  <w:style w:type="paragraph" w:styleId="ac">
    <w:name w:val="footer"/>
    <w:basedOn w:val="a"/>
    <w:link w:val="ad"/>
    <w:uiPriority w:val="99"/>
    <w:unhideWhenUsed/>
    <w:rsid w:val="00F939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39E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20">
    <w:name w:val="heading 2"/>
    <w:basedOn w:val="a"/>
    <w:next w:val="a"/>
    <w:link w:val="21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</w:style>
  <w:style w:type="character" w:customStyle="1" w:styleId="50">
    <w:name w:val="Заголовок 5 Знак"/>
    <w:basedOn w:val="a0"/>
    <w:link w:val="5"/>
    <w:rsid w:val="005B2AEA"/>
    <w:rPr>
      <w:sz w:val="32"/>
    </w:rPr>
  </w:style>
  <w:style w:type="character" w:customStyle="1" w:styleId="60">
    <w:name w:val="Заголовок 6 Знак"/>
    <w:basedOn w:val="a0"/>
    <w:link w:val="6"/>
    <w:rsid w:val="005B2AEA"/>
    <w:rPr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1">
    <w:name w:val="Заголовок 2 Знак"/>
    <w:basedOn w:val="a0"/>
    <w:link w:val="20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uiPriority w:val="99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9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numbering" w:customStyle="1" w:styleId="1">
    <w:name w:val="Стиль1"/>
    <w:uiPriority w:val="99"/>
    <w:rsid w:val="000B1613"/>
    <w:pPr>
      <w:numPr>
        <w:numId w:val="6"/>
      </w:numPr>
    </w:pPr>
  </w:style>
  <w:style w:type="numbering" w:customStyle="1" w:styleId="2">
    <w:name w:val="Стиль2"/>
    <w:uiPriority w:val="99"/>
    <w:rsid w:val="00414EAC"/>
    <w:pPr>
      <w:numPr>
        <w:numId w:val="7"/>
      </w:numPr>
    </w:pPr>
  </w:style>
  <w:style w:type="paragraph" w:styleId="aa">
    <w:name w:val="header"/>
    <w:basedOn w:val="a"/>
    <w:link w:val="ab"/>
    <w:uiPriority w:val="99"/>
    <w:unhideWhenUsed/>
    <w:rsid w:val="00F939E4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939E4"/>
  </w:style>
  <w:style w:type="paragraph" w:styleId="ac">
    <w:name w:val="footer"/>
    <w:basedOn w:val="a"/>
    <w:link w:val="ad"/>
    <w:uiPriority w:val="99"/>
    <w:unhideWhenUsed/>
    <w:rsid w:val="00F939E4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93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90F88-5161-40D8-981C-B399B3575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3049</Words>
  <Characters>17381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Огрызков Евгений Анатольевич</cp:lastModifiedBy>
  <cp:revision>37</cp:revision>
  <cp:lastPrinted>2022-06-03T07:39:00Z</cp:lastPrinted>
  <dcterms:created xsi:type="dcterms:W3CDTF">2020-06-19T11:12:00Z</dcterms:created>
  <dcterms:modified xsi:type="dcterms:W3CDTF">2022-06-03T08:05:00Z</dcterms:modified>
</cp:coreProperties>
</file>