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7AE" w:rsidRDefault="00CC77AE" w:rsidP="00650975">
      <w:pPr>
        <w:spacing w:after="0"/>
        <w:rPr>
          <w:rFonts w:ascii="Times New Roman" w:hAnsi="Times New Roman" w:cs="Times New Roman"/>
          <w:bCs/>
        </w:rPr>
      </w:pPr>
    </w:p>
    <w:p w:rsidR="00B56F12" w:rsidRPr="00B56F12" w:rsidRDefault="00B56F12" w:rsidP="00B56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6F12">
        <w:rPr>
          <w:rFonts w:ascii="Times New Roman" w:eastAsia="Times New Roman" w:hAnsi="Times New Roman" w:cs="Times New Roman"/>
          <w:i/>
          <w:sz w:val="24"/>
          <w:szCs w:val="24"/>
        </w:rPr>
        <w:t>Практика достижения наилучших значений</w:t>
      </w:r>
    </w:p>
    <w:p w:rsidR="00B56F12" w:rsidRPr="00B56F12" w:rsidRDefault="00B56F12" w:rsidP="00B56F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6F12">
        <w:rPr>
          <w:rFonts w:ascii="Times New Roman" w:eastAsia="Times New Roman" w:hAnsi="Times New Roman" w:cs="Times New Roman"/>
          <w:i/>
          <w:sz w:val="24"/>
          <w:szCs w:val="24"/>
        </w:rPr>
        <w:t>показателей в сфере жилищного строительства и жилищно-коммунального хозяйства</w:t>
      </w:r>
    </w:p>
    <w:p w:rsidR="00B56F12" w:rsidRPr="00B56F12" w:rsidRDefault="00B56F12" w:rsidP="00B56F12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Arial Unicode MS"/>
          <w:b/>
          <w:sz w:val="26"/>
          <w:szCs w:val="26"/>
          <w:lang w:eastAsia="ar-SA"/>
        </w:rPr>
      </w:pPr>
    </w:p>
    <w:p w:rsidR="00B56F12" w:rsidRPr="00B56F12" w:rsidRDefault="00B56F12" w:rsidP="00B56F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bookmarkStart w:id="0" w:name="sub_23088"/>
      <w:r w:rsidRPr="00B56F12">
        <w:rPr>
          <w:rFonts w:ascii="Times New Roman" w:eastAsia="Times New Roman" w:hAnsi="Times New Roman" w:cs="Arial Unicode MS"/>
          <w:sz w:val="24"/>
          <w:szCs w:val="24"/>
        </w:rPr>
        <w:t xml:space="preserve">Наилучший результат город Югорск в 2013-2014 </w:t>
      </w:r>
      <w:proofErr w:type="spellStart"/>
      <w:proofErr w:type="gramStart"/>
      <w:r w:rsidRPr="00B56F12">
        <w:rPr>
          <w:rFonts w:ascii="Times New Roman" w:eastAsia="Times New Roman" w:hAnsi="Times New Roman" w:cs="Arial Unicode MS"/>
          <w:sz w:val="24"/>
          <w:szCs w:val="24"/>
        </w:rPr>
        <w:t>гг</w:t>
      </w:r>
      <w:proofErr w:type="spellEnd"/>
      <w:proofErr w:type="gramEnd"/>
      <w:r w:rsidRPr="00B56F12">
        <w:rPr>
          <w:rFonts w:ascii="Times New Roman" w:eastAsia="Times New Roman" w:hAnsi="Times New Roman" w:cs="Arial Unicode MS"/>
          <w:sz w:val="24"/>
          <w:szCs w:val="24"/>
        </w:rPr>
        <w:t xml:space="preserve"> продемонстрировал по следующим</w:t>
      </w:r>
      <w:r w:rsidRPr="00B56F12">
        <w:rPr>
          <w:rFonts w:ascii="Times New Roman" w:eastAsia="Times New Roman" w:hAnsi="Times New Roman" w:cs="Arial Unicode MS"/>
          <w:sz w:val="24"/>
          <w:szCs w:val="24"/>
          <w:lang w:eastAsia="ar-SA"/>
        </w:rPr>
        <w:t xml:space="preserve"> показателям:</w:t>
      </w:r>
    </w:p>
    <w:p w:rsidR="00B56F12" w:rsidRPr="00B56F12" w:rsidRDefault="00B56F12" w:rsidP="00B56F12">
      <w:pPr>
        <w:widowControl w:val="0"/>
        <w:tabs>
          <w:tab w:val="left" w:pos="28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B56F12">
        <w:rPr>
          <w:rFonts w:ascii="Times New Roman" w:eastAsia="Times New Roman" w:hAnsi="Times New Roman" w:cs="Arial Unicode MS"/>
          <w:sz w:val="24"/>
          <w:szCs w:val="24"/>
          <w:lang w:eastAsia="ar-SA"/>
        </w:rPr>
        <w:t xml:space="preserve">1. Площадь земельных участков, предоставленных для строительства, в отношении которых </w:t>
      </w:r>
      <w:proofErr w:type="gramStart"/>
      <w:r w:rsidRPr="00B56F12">
        <w:rPr>
          <w:rFonts w:ascii="Times New Roman" w:eastAsia="Times New Roman" w:hAnsi="Times New Roman" w:cs="Arial Unicode MS"/>
          <w:sz w:val="24"/>
          <w:szCs w:val="24"/>
          <w:lang w:eastAsia="ar-SA"/>
        </w:rPr>
        <w:t>с даты принятия</w:t>
      </w:r>
      <w:proofErr w:type="gramEnd"/>
      <w:r w:rsidRPr="00B56F12">
        <w:rPr>
          <w:rFonts w:ascii="Times New Roman" w:eastAsia="Times New Roman" w:hAnsi="Times New Roman" w:cs="Arial Unicode MS"/>
          <w:sz w:val="24"/>
          <w:szCs w:val="24"/>
          <w:lang w:eastAsia="ar-SA"/>
        </w:rPr>
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 (№ 26 в отчете к Докладу главы администрации города Югорска).</w:t>
      </w:r>
    </w:p>
    <w:p w:rsidR="00B56F12" w:rsidRPr="00B56F12" w:rsidRDefault="00B56F12" w:rsidP="00B56F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B56F12">
        <w:rPr>
          <w:rFonts w:ascii="Times New Roman" w:eastAsia="Times New Roman" w:hAnsi="Times New Roman" w:cs="Arial Unicode MS"/>
          <w:sz w:val="24"/>
          <w:szCs w:val="24"/>
          <w:lang w:eastAsia="ar-SA"/>
        </w:rPr>
        <w:t>Для достижения наилучших значений данного показателя  департамент муниципальной собственности и градостроительства провел работу с застройщиками, которые не осваивали земельные участки в течение  5 лет, применив процедуру расторжения договоров аренды.</w:t>
      </w:r>
    </w:p>
    <w:p w:rsidR="00B56F12" w:rsidRPr="00B56F12" w:rsidRDefault="00B56F12" w:rsidP="00B56F1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B56F12">
        <w:rPr>
          <w:rFonts w:ascii="Times New Roman" w:eastAsia="Times New Roman" w:hAnsi="Times New Roman" w:cs="Arial Unicode MS"/>
          <w:sz w:val="24"/>
          <w:szCs w:val="24"/>
          <w:lang w:eastAsia="ar-SA"/>
        </w:rPr>
        <w:t>Обеспечение плановых показателей ввода жилых домов на территории города Югорска обеспечено слаженными действиями администрации города Югорска и оперативной отработкой вопросов с застройщиками.</w:t>
      </w:r>
    </w:p>
    <w:bookmarkEnd w:id="0"/>
    <w:p w:rsidR="00B56F12" w:rsidRPr="00B56F12" w:rsidRDefault="00B56F12" w:rsidP="00B56F12">
      <w:pPr>
        <w:widowControl w:val="0"/>
        <w:tabs>
          <w:tab w:val="left" w:pos="284"/>
        </w:tabs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Arial Unicode MS"/>
          <w:sz w:val="24"/>
          <w:szCs w:val="24"/>
          <w:lang w:eastAsia="ar-SA"/>
        </w:rPr>
      </w:pPr>
      <w:r w:rsidRPr="00B56F12">
        <w:rPr>
          <w:rFonts w:ascii="Times New Roman" w:eastAsia="Times New Roman" w:hAnsi="Times New Roman" w:cs="Arial Unicode MS"/>
          <w:sz w:val="24"/>
          <w:szCs w:val="24"/>
          <w:lang w:eastAsia="ar-SA"/>
        </w:rPr>
        <w:t>2. Доля многоквартирных домов, расположенных на земельных участках, в отношении которых осуществлен государственный кадастровый учет (№ 29 в отчете к Докладу главы администрации города Югорска).</w:t>
      </w:r>
    </w:p>
    <w:p w:rsidR="00B56F12" w:rsidRPr="00B56F12" w:rsidRDefault="00B56F12" w:rsidP="00B56F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B56F12">
        <w:rPr>
          <w:rFonts w:ascii="Times New Roman" w:eastAsia="Times New Roman" w:hAnsi="Times New Roman" w:cs="Times New Roman"/>
          <w:sz w:val="24"/>
          <w:szCs w:val="24"/>
        </w:rPr>
        <w:t>Администрация города Югорска провела комплексную работу по уточнению границ ранее учтенных земельных участков для размещения многоквартирных жилых домов, в соответствии с п</w:t>
      </w:r>
      <w:r w:rsidRPr="00B56F12">
        <w:rPr>
          <w:rFonts w:ascii="Times New Roman" w:eastAsia="Times New Roman" w:hAnsi="Times New Roman" w:cs="Times New Roman"/>
          <w:bCs/>
        </w:rPr>
        <w:t xml:space="preserve">ланом - графиком проведения мероприятий по формированию земельных участков, занимаемых многоквартирными жилыми домами за счет бюджета муниципального образования, утвержденным распоряжением администрации города Югорска от 10.04.2014 № 176. От общего количества осталось отмежевать 33 </w:t>
      </w:r>
      <w:proofErr w:type="gramStart"/>
      <w:r w:rsidRPr="00B56F12">
        <w:rPr>
          <w:rFonts w:ascii="Times New Roman" w:eastAsia="Times New Roman" w:hAnsi="Times New Roman" w:cs="Times New Roman"/>
          <w:bCs/>
        </w:rPr>
        <w:t>земельных</w:t>
      </w:r>
      <w:proofErr w:type="gramEnd"/>
      <w:r w:rsidRPr="00B56F12">
        <w:rPr>
          <w:rFonts w:ascii="Times New Roman" w:eastAsia="Times New Roman" w:hAnsi="Times New Roman" w:cs="Times New Roman"/>
          <w:bCs/>
        </w:rPr>
        <w:t xml:space="preserve"> участка. В 2014 году планируется завершить процесс осуществления государственного кадастрового учета.</w:t>
      </w:r>
    </w:p>
    <w:p w:rsidR="00CC77AE" w:rsidRPr="00B56F12" w:rsidRDefault="00B56F12" w:rsidP="00B56F1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B56F12">
        <w:rPr>
          <w:rFonts w:ascii="Times New Roman" w:hAnsi="Times New Roman" w:cs="Times New Roman"/>
          <w:sz w:val="24"/>
          <w:szCs w:val="24"/>
        </w:rPr>
        <w:t xml:space="preserve">3. </w:t>
      </w:r>
      <w:r w:rsidR="000A1055" w:rsidRPr="00B56F12">
        <w:rPr>
          <w:rFonts w:ascii="Times New Roman" w:hAnsi="Times New Roman" w:cs="Times New Roman"/>
          <w:sz w:val="24"/>
          <w:szCs w:val="24"/>
        </w:rPr>
        <w:t>Доля детей в возрасте 1-6 лет, стоящих на учете для опр</w:t>
      </w:r>
      <w:r w:rsidRPr="00B56F12">
        <w:rPr>
          <w:rFonts w:ascii="Times New Roman" w:hAnsi="Times New Roman" w:cs="Times New Roman"/>
          <w:sz w:val="24"/>
          <w:szCs w:val="24"/>
        </w:rPr>
        <w:t>еделения в дошкольное учреждение</w:t>
      </w:r>
    </w:p>
    <w:p w:rsidR="000A1055" w:rsidRDefault="000A1055" w:rsidP="000A10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Количество детей от 1 года до 6 </w:t>
      </w:r>
      <w:proofErr w:type="gramStart"/>
      <w:r w:rsidRPr="00CC77AE">
        <w:rPr>
          <w:rFonts w:ascii="Times New Roman" w:hAnsi="Times New Roman" w:cs="Times New Roman"/>
          <w:sz w:val="24"/>
          <w:szCs w:val="24"/>
        </w:rPr>
        <w:t>лет, нуждающихся в устройстве в дошкольные учреждения в течен</w:t>
      </w:r>
      <w:r>
        <w:rPr>
          <w:rFonts w:ascii="Times New Roman" w:hAnsi="Times New Roman" w:cs="Times New Roman"/>
          <w:sz w:val="24"/>
          <w:szCs w:val="24"/>
        </w:rPr>
        <w:t>ие ряда лет снижается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(рисунок</w:t>
      </w:r>
      <w:r w:rsidRPr="00CC77AE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Основным фактором, обусловившим</w:t>
      </w:r>
      <w:r w:rsidRPr="00CC77AE">
        <w:rPr>
          <w:rFonts w:ascii="Times New Roman" w:hAnsi="Times New Roman" w:cs="Times New Roman"/>
          <w:sz w:val="24"/>
          <w:szCs w:val="24"/>
        </w:rPr>
        <w:t xml:space="preserve"> данную тенденцию явилось</w:t>
      </w:r>
      <w:proofErr w:type="gramEnd"/>
      <w:r w:rsidRPr="00CC77AE">
        <w:rPr>
          <w:rFonts w:ascii="Times New Roman" w:hAnsi="Times New Roman" w:cs="Times New Roman"/>
          <w:sz w:val="24"/>
          <w:szCs w:val="24"/>
        </w:rPr>
        <w:t xml:space="preserve"> увеличени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C77AE">
        <w:rPr>
          <w:rFonts w:ascii="Times New Roman" w:hAnsi="Times New Roman" w:cs="Times New Roman"/>
          <w:sz w:val="24"/>
          <w:szCs w:val="24"/>
        </w:rPr>
        <w:t xml:space="preserve"> мощностей дошкольных учреждений. </w:t>
      </w:r>
    </w:p>
    <w:p w:rsidR="000A1055" w:rsidRPr="00CC77AE" w:rsidRDefault="000A1055" w:rsidP="000A105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1055" w:rsidRPr="00CC77AE" w:rsidRDefault="000A1055" w:rsidP="000A1055">
      <w:pPr>
        <w:tabs>
          <w:tab w:val="left" w:pos="1200"/>
        </w:tabs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8433EF9" wp14:editId="36D3A655">
            <wp:extent cx="6105525" cy="264795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CC77AE">
        <w:rPr>
          <w:rFonts w:ascii="Times New Roman" w:hAnsi="Times New Roman" w:cs="Times New Roman"/>
          <w:sz w:val="24"/>
          <w:szCs w:val="24"/>
        </w:rPr>
        <w:tab/>
      </w:r>
    </w:p>
    <w:p w:rsidR="000A1055" w:rsidRDefault="000A1055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Мощность сети дошкольных образовательных организаций на начало 2013-2014 учебного года составляла  81 группу с охватом  1993-х детей дошкольного возраста. С  целью обеспечения доступности дошкольного образования и увеличения количества воспитанников 2013-2014 </w:t>
      </w:r>
      <w:r w:rsidRPr="00CC77AE">
        <w:rPr>
          <w:rFonts w:ascii="Times New Roman" w:hAnsi="Times New Roman" w:cs="Times New Roman"/>
          <w:sz w:val="24"/>
          <w:szCs w:val="24"/>
        </w:rPr>
        <w:lastRenderedPageBreak/>
        <w:t xml:space="preserve">учебном году организован процесс </w:t>
      </w:r>
      <w:r w:rsidRPr="00CC77AE">
        <w:rPr>
          <w:rFonts w:ascii="Times New Roman" w:hAnsi="Times New Roman" w:cs="Times New Roman"/>
          <w:sz w:val="24"/>
          <w:szCs w:val="24"/>
          <w:u w:val="single"/>
        </w:rPr>
        <w:t xml:space="preserve">доукомплектования  </w:t>
      </w:r>
      <w:r w:rsidRPr="00CC77AE">
        <w:rPr>
          <w:rFonts w:ascii="Times New Roman" w:hAnsi="Times New Roman" w:cs="Times New Roman"/>
          <w:sz w:val="24"/>
          <w:szCs w:val="24"/>
        </w:rPr>
        <w:t xml:space="preserve">существующих групп для детей младшего дошкольного возраста. </w:t>
      </w:r>
    </w:p>
    <w:p w:rsidR="00CC77AE" w:rsidRDefault="00CC77AE" w:rsidP="00CC77A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>Управлением образования проведен  анализ существующих условий: анализ площадей групповых ячеек, (приемных, игровых, спален), материально-технического обеспечения, а так же  анализ фактической посещаемости воспитанниками групп. Разработан План мероприятий по оптимизации  площадей дошкольных образовательных учреждений на 2013-2014 учебный год.</w:t>
      </w:r>
    </w:p>
    <w:p w:rsidR="000A1055" w:rsidRPr="00CC77AE" w:rsidRDefault="000A1055" w:rsidP="000A1055">
      <w:pPr>
        <w:pStyle w:val="a4"/>
        <w:tabs>
          <w:tab w:val="left" w:pos="851"/>
        </w:tabs>
        <w:autoSpaceDE w:val="0"/>
        <w:autoSpaceDN w:val="0"/>
        <w:adjustRightInd w:val="0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-4"/>
        <w:tblW w:w="0" w:type="auto"/>
        <w:tblLook w:val="04A0" w:firstRow="1" w:lastRow="0" w:firstColumn="1" w:lastColumn="0" w:noHBand="0" w:noVBand="1"/>
      </w:tblPr>
      <w:tblGrid>
        <w:gridCol w:w="3510"/>
        <w:gridCol w:w="5518"/>
        <w:gridCol w:w="1383"/>
      </w:tblGrid>
      <w:tr w:rsidR="00CC77AE" w:rsidRPr="00CC77AE" w:rsidTr="000A1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CC77AE" w:rsidRPr="00CC77AE" w:rsidRDefault="00CC77A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деятельности </w:t>
            </w:r>
          </w:p>
        </w:tc>
        <w:tc>
          <w:tcPr>
            <w:tcW w:w="5518" w:type="dxa"/>
            <w:hideMark/>
          </w:tcPr>
          <w:p w:rsidR="00CC77AE" w:rsidRPr="00CC77AE" w:rsidRDefault="00CC77A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383" w:type="dxa"/>
            <w:hideMark/>
          </w:tcPr>
          <w:p w:rsidR="00CC77AE" w:rsidRPr="00CC77AE" w:rsidRDefault="00CC77AE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CC77AE" w:rsidRPr="00CC77AE" w:rsidTr="000A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CC77AE" w:rsidRPr="00CC77AE" w:rsidRDefault="00CC77A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Анализ условий</w:t>
            </w:r>
          </w:p>
        </w:tc>
        <w:tc>
          <w:tcPr>
            <w:tcW w:w="5518" w:type="dxa"/>
            <w:hideMark/>
          </w:tcPr>
          <w:p w:rsidR="00CC77AE" w:rsidRPr="00CC77AE" w:rsidRDefault="00CC7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Проведение  анализа площадей групповых ячеек, (приемных, игровых, спален), материально-технического обеспечения, а так же  анализ фактической посещаемости воспитанниками групп.</w:t>
            </w:r>
          </w:p>
        </w:tc>
        <w:tc>
          <w:tcPr>
            <w:tcW w:w="1383" w:type="dxa"/>
            <w:hideMark/>
          </w:tcPr>
          <w:p w:rsidR="00CC77AE" w:rsidRPr="00CC77AE" w:rsidRDefault="00CC7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Февраль 2013</w:t>
            </w:r>
          </w:p>
        </w:tc>
      </w:tr>
      <w:tr w:rsidR="00CC77AE" w:rsidRPr="00CC77AE" w:rsidTr="000A10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CC77AE" w:rsidRPr="00CC77AE" w:rsidRDefault="00CC77A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Финансовые  средства на приобретение мебели, оборудования, постельных и столовых принадлежностей.  </w:t>
            </w:r>
          </w:p>
        </w:tc>
        <w:tc>
          <w:tcPr>
            <w:tcW w:w="5518" w:type="dxa"/>
            <w:hideMark/>
          </w:tcPr>
          <w:p w:rsidR="00CC77AE" w:rsidRPr="00CC77AE" w:rsidRDefault="00CC7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Уплотнение групп на 2014-2015 учебный год проведено за счет внутренних резервов дошкольных образовательных организаций, без привлечения дополнительных денежных средств.</w:t>
            </w:r>
          </w:p>
        </w:tc>
        <w:tc>
          <w:tcPr>
            <w:tcW w:w="1383" w:type="dxa"/>
            <w:hideMark/>
          </w:tcPr>
          <w:p w:rsidR="00CC77AE" w:rsidRPr="00CC77AE" w:rsidRDefault="00CC7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Май 2013</w:t>
            </w:r>
          </w:p>
        </w:tc>
      </w:tr>
      <w:tr w:rsidR="00CC77AE" w:rsidRPr="00CC77AE" w:rsidTr="000A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CC77AE" w:rsidRPr="00CC77AE" w:rsidRDefault="00CC77A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Работа с руководителями</w:t>
            </w:r>
          </w:p>
        </w:tc>
        <w:tc>
          <w:tcPr>
            <w:tcW w:w="5518" w:type="dxa"/>
            <w:hideMark/>
          </w:tcPr>
          <w:p w:rsidR="00CC77AE" w:rsidRPr="00CC77AE" w:rsidRDefault="00CC7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Проведена работа с руководителями дошкольных образовательных учреждений  об организации процесса доукомплектования  существующих групп</w:t>
            </w:r>
          </w:p>
        </w:tc>
        <w:tc>
          <w:tcPr>
            <w:tcW w:w="1383" w:type="dxa"/>
            <w:hideMark/>
          </w:tcPr>
          <w:p w:rsidR="00CC77AE" w:rsidRPr="00CC77AE" w:rsidRDefault="00CC7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Апрель 2013</w:t>
            </w:r>
          </w:p>
        </w:tc>
      </w:tr>
      <w:tr w:rsidR="00CC77AE" w:rsidRPr="00CC77AE" w:rsidTr="000A10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CC77AE" w:rsidRPr="00CC77AE" w:rsidRDefault="00CC77A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</w:p>
        </w:tc>
        <w:tc>
          <w:tcPr>
            <w:tcW w:w="5518" w:type="dxa"/>
            <w:hideMark/>
          </w:tcPr>
          <w:p w:rsidR="00CC77AE" w:rsidRPr="00CC77AE" w:rsidRDefault="00CC7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Организовано обсуждение вопроса о комплектовании групп на родительских собраниях.</w:t>
            </w:r>
          </w:p>
        </w:tc>
        <w:tc>
          <w:tcPr>
            <w:tcW w:w="1383" w:type="dxa"/>
            <w:hideMark/>
          </w:tcPr>
          <w:p w:rsidR="00CC77AE" w:rsidRPr="00CC77AE" w:rsidRDefault="00CC7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Май 2013</w:t>
            </w:r>
          </w:p>
        </w:tc>
      </w:tr>
      <w:tr w:rsidR="00CC77AE" w:rsidRPr="00CC77AE" w:rsidTr="000A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CC77AE" w:rsidRPr="00CC77AE" w:rsidRDefault="00CC77AE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Работа со СМИ</w:t>
            </w:r>
          </w:p>
        </w:tc>
        <w:tc>
          <w:tcPr>
            <w:tcW w:w="5518" w:type="dxa"/>
            <w:hideMark/>
          </w:tcPr>
          <w:p w:rsidR="00CC77AE" w:rsidRPr="00CC77AE" w:rsidRDefault="00CC7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состоянии очередности и организации процесса комплектования (репортажи, статьи в газете, интервью).</w:t>
            </w:r>
          </w:p>
        </w:tc>
        <w:tc>
          <w:tcPr>
            <w:tcW w:w="1383" w:type="dxa"/>
            <w:hideMark/>
          </w:tcPr>
          <w:p w:rsidR="00CC77AE" w:rsidRPr="00CC77AE" w:rsidRDefault="00CC77A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 xml:space="preserve">Март  – май </w:t>
            </w:r>
          </w:p>
        </w:tc>
      </w:tr>
      <w:tr w:rsidR="00CC77AE" w:rsidRPr="00CC77AE" w:rsidTr="000A10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hideMark/>
          </w:tcPr>
          <w:p w:rsidR="00CC77AE" w:rsidRPr="00CC77AE" w:rsidRDefault="00CC77A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Социальный эффект доукомплектования.</w:t>
            </w:r>
          </w:p>
        </w:tc>
        <w:tc>
          <w:tcPr>
            <w:tcW w:w="5518" w:type="dxa"/>
            <w:hideMark/>
          </w:tcPr>
          <w:p w:rsidR="00CC77AE" w:rsidRPr="00CC77AE" w:rsidRDefault="00CC7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Доукомплектование  25 групп для детей младшего дошкольного возраста на 75 воспитанников (в среднем по 3 воспитанника в группу). Средняя наполняемость группы 26,6 детей.</w:t>
            </w:r>
          </w:p>
        </w:tc>
        <w:tc>
          <w:tcPr>
            <w:tcW w:w="1383" w:type="dxa"/>
            <w:hideMark/>
          </w:tcPr>
          <w:p w:rsidR="00CC77AE" w:rsidRPr="00CC77AE" w:rsidRDefault="00CC77AE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Сентябрь 2013</w:t>
            </w:r>
          </w:p>
        </w:tc>
      </w:tr>
    </w:tbl>
    <w:p w:rsidR="00CC77AE" w:rsidRPr="00CC77AE" w:rsidRDefault="00CC77AE" w:rsidP="00CC77AE">
      <w:pPr>
        <w:pStyle w:val="a4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77AE" w:rsidRPr="00CC77AE" w:rsidRDefault="00CC77AE" w:rsidP="00CC77A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 На основании анализа, исходя из расчета площадей игровых и спален, с учетом фактического посещения детьми групп проведено уплотнение групп  детей младшего дошкольного возраста на 144 места.</w:t>
      </w:r>
    </w:p>
    <w:p w:rsidR="00CC77AE" w:rsidRPr="00CC77AE" w:rsidRDefault="00CC77AE" w:rsidP="00CC77A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 С целью  увеличения мощности сети дошкольных учреждений и сокращения очереди на 144 места из местного бюджета выделены финансовые средства в размере 1 602 000 рублей на приобретение мебели, оборудования, постельных и столовых принадлежностей.  </w:t>
      </w:r>
    </w:p>
    <w:p w:rsidR="00CC77AE" w:rsidRPr="00CC77AE" w:rsidRDefault="00CC77AE" w:rsidP="00CC77AE">
      <w:pPr>
        <w:pStyle w:val="a4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Проведена работа с руководителями дошкольных образовательных учреждений  об организации процесса доукомплектования  существующих групп. Организовано обсуждение вопроса о доукомплектовании групп на общегородском  родительском собрании.  Руководителями  дошкольных образовательных учреждений  проведены родительские собрания, организованы совещания наблюдательных советов. </w:t>
      </w:r>
    </w:p>
    <w:p w:rsidR="00CC77AE" w:rsidRPr="00CC77AE" w:rsidRDefault="00CC77AE" w:rsidP="00CC77AE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b/>
          <w:sz w:val="24"/>
          <w:szCs w:val="24"/>
        </w:rPr>
        <w:t>В результате уплотнения групп в 2013-2014 учебном году охват дошкольным образованием составил 2137 детей</w:t>
      </w:r>
      <w:r w:rsidRPr="00CC77AE">
        <w:rPr>
          <w:rFonts w:ascii="Times New Roman" w:hAnsi="Times New Roman" w:cs="Times New Roman"/>
          <w:sz w:val="24"/>
          <w:szCs w:val="24"/>
        </w:rPr>
        <w:t>. Учреждениям увеличены муниципальные задания в части объемных показателей.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Данная практика применяется и при комплектовании групп детей младшего дошкольного возраста в 2014-2015 учебном году. С учетом традиционного комплектования в 2014-2015 учебном году охват составил 575 детей трех лет. При организации уплотнения существующих </w:t>
      </w:r>
      <w:r w:rsidRPr="00CC77AE">
        <w:rPr>
          <w:rFonts w:ascii="Times New Roman" w:hAnsi="Times New Roman" w:cs="Times New Roman"/>
          <w:sz w:val="24"/>
          <w:szCs w:val="24"/>
        </w:rPr>
        <w:lastRenderedPageBreak/>
        <w:t>групп комплектование воспитанников 2011 года рождения (дети 3-х лет)  составляет 605 детей –  охват 100 %, воспитанников 2012 года рождения   (дети 2-х лет)  – 40 детей – 7%.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С целью увеличения охвата детей дошкольного возраста в городе Югорске  в соответствии с целевой программой Ханты-Мансийского автономного округа - Югры «Новая школа Югры на 2010 - 2013 годы и на период до 2015 года» в сентябре 2013 года введено  в эксплуатацию здание нового детского сада на 170 мест. Заказчиком строительства данного объекта являлся </w:t>
      </w:r>
      <w:hyperlink r:id="rId7" w:history="1">
        <w:r w:rsidRPr="00CC77AE">
          <w:rPr>
            <w:rStyle w:val="a9"/>
            <w:rFonts w:ascii="Times New Roman" w:hAnsi="Times New Roman" w:cs="Times New Roman"/>
            <w:sz w:val="24"/>
            <w:szCs w:val="24"/>
          </w:rPr>
          <w:t>Департамент жилищно-коммунального и строительного комплекса</w:t>
        </w:r>
      </w:hyperlink>
      <w:r w:rsidRPr="00CC77AE">
        <w:rPr>
          <w:rFonts w:ascii="Times New Roman" w:hAnsi="Times New Roman" w:cs="Times New Roman"/>
          <w:sz w:val="24"/>
          <w:szCs w:val="24"/>
        </w:rPr>
        <w:t>.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В рамках государственной программы Ханты-Мансийского автономного округа – Югры «Развитие образования </w:t>
      </w:r>
      <w:proofErr w:type="gramStart"/>
      <w:r w:rsidRPr="00CC77AE"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77AE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CC77AE">
        <w:rPr>
          <w:rFonts w:ascii="Times New Roman" w:hAnsi="Times New Roman" w:cs="Times New Roman"/>
          <w:sz w:val="24"/>
          <w:szCs w:val="24"/>
        </w:rPr>
        <w:t xml:space="preserve"> автономном округе – Югре», на основании  распоряжения администрации города Югорска от 15.02.2013 года № 74  в период с 1 мая  2013 года по 1 сентября 2014 года проведен капитальный ремонта здания данного учреждения. 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Введение  в эксплуатацию после капитального ремонта детского сада Радуга на 274 места значительно улучшило ситуацию </w:t>
      </w:r>
      <w:r w:rsidRPr="00CC77AE">
        <w:rPr>
          <w:rFonts w:ascii="Times New Roman" w:hAnsi="Times New Roman" w:cs="Times New Roman"/>
          <w:bCs/>
          <w:sz w:val="24"/>
          <w:szCs w:val="24"/>
        </w:rPr>
        <w:t>с обеспечением детей дошкольным образованием.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В 2014-2015 учебном году наблюдается увеличение мощности сети дошкольных учреждений до 93 групп с охватом 2305 детей (прирост составит 7,5%), в  2015-2016 учебном  году охват составит 2905 детей, прирост  составляет 25% .  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b/>
          <w:i/>
          <w:sz w:val="24"/>
          <w:szCs w:val="24"/>
        </w:rPr>
        <w:t xml:space="preserve">Таблица 1. </w:t>
      </w:r>
      <w:r w:rsidRPr="00CC77AE">
        <w:rPr>
          <w:rFonts w:ascii="Times New Roman" w:hAnsi="Times New Roman" w:cs="Times New Roman"/>
          <w:sz w:val="24"/>
          <w:szCs w:val="24"/>
        </w:rPr>
        <w:t xml:space="preserve">Мощность сети дошкольного образования </w:t>
      </w:r>
    </w:p>
    <w:tbl>
      <w:tblPr>
        <w:tblStyle w:val="-4"/>
        <w:tblW w:w="5000" w:type="pct"/>
        <w:tblLook w:val="04A0" w:firstRow="1" w:lastRow="0" w:firstColumn="1" w:lastColumn="0" w:noHBand="0" w:noVBand="1"/>
      </w:tblPr>
      <w:tblGrid>
        <w:gridCol w:w="4275"/>
        <w:gridCol w:w="809"/>
        <w:gridCol w:w="1336"/>
        <w:gridCol w:w="1336"/>
        <w:gridCol w:w="1334"/>
        <w:gridCol w:w="1332"/>
      </w:tblGrid>
      <w:tr w:rsidR="00CC77AE" w:rsidRPr="00CC77AE" w:rsidTr="000A10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pct"/>
            <w:hideMark/>
          </w:tcPr>
          <w:p w:rsidR="00CC77AE" w:rsidRPr="00CC77AE" w:rsidRDefault="00CC77AE">
            <w:pPr>
              <w:spacing w:line="276" w:lineRule="auto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Показатель</w:t>
            </w:r>
          </w:p>
        </w:tc>
        <w:tc>
          <w:tcPr>
            <w:tcW w:w="388" w:type="pct"/>
            <w:noWrap/>
          </w:tcPr>
          <w:p w:rsidR="00CC77AE" w:rsidRPr="00CC77AE" w:rsidRDefault="00CC77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1" w:type="pct"/>
            <w:hideMark/>
          </w:tcPr>
          <w:p w:rsidR="00CC77AE" w:rsidRPr="00CC77AE" w:rsidRDefault="00CC77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2012-2013</w:t>
            </w:r>
          </w:p>
        </w:tc>
        <w:tc>
          <w:tcPr>
            <w:tcW w:w="641" w:type="pct"/>
            <w:hideMark/>
          </w:tcPr>
          <w:p w:rsidR="00CC77AE" w:rsidRPr="00CC77AE" w:rsidRDefault="00CC77AE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2013</w:t>
            </w:r>
            <w:r w:rsidRPr="00CC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-2014</w:t>
            </w:r>
          </w:p>
        </w:tc>
        <w:tc>
          <w:tcPr>
            <w:tcW w:w="640" w:type="pct"/>
            <w:hideMark/>
          </w:tcPr>
          <w:p w:rsidR="00CC77AE" w:rsidRPr="00CC77AE" w:rsidRDefault="00CC7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2014-2015</w:t>
            </w:r>
          </w:p>
          <w:p w:rsidR="00CC77AE" w:rsidRPr="00CC77AE" w:rsidRDefault="00CC7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40" w:type="pct"/>
            <w:hideMark/>
          </w:tcPr>
          <w:p w:rsidR="00CC77AE" w:rsidRPr="00CC77AE" w:rsidRDefault="00CC7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2015-2016</w:t>
            </w:r>
          </w:p>
          <w:p w:rsidR="00CC77AE" w:rsidRPr="00CC77AE" w:rsidRDefault="00CC77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</w:t>
            </w:r>
          </w:p>
        </w:tc>
      </w:tr>
      <w:tr w:rsidR="00CC77AE" w:rsidRPr="00CC77AE" w:rsidTr="000A10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pct"/>
            <w:hideMark/>
          </w:tcPr>
          <w:p w:rsidR="00CC77AE" w:rsidRPr="00CC77AE" w:rsidRDefault="00CC77A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Численность детей, посещающих образовательные учреждения, реализующих</w:t>
            </w:r>
            <w:r w:rsidRPr="00CC77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основную общеобразовательную программу дошкольного образования</w:t>
            </w:r>
          </w:p>
        </w:tc>
        <w:tc>
          <w:tcPr>
            <w:tcW w:w="388" w:type="pct"/>
            <w:noWrap/>
            <w:hideMark/>
          </w:tcPr>
          <w:p w:rsidR="00CC77AE" w:rsidRPr="00CC77AE" w:rsidRDefault="00CC77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41" w:type="pct"/>
            <w:hideMark/>
          </w:tcPr>
          <w:p w:rsidR="00CC77AE" w:rsidRPr="00CC77AE" w:rsidRDefault="00CC77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41" w:type="pct"/>
            <w:hideMark/>
          </w:tcPr>
          <w:p w:rsidR="00CC77AE" w:rsidRPr="00CC77AE" w:rsidRDefault="00CC77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2137</w:t>
            </w:r>
          </w:p>
        </w:tc>
        <w:tc>
          <w:tcPr>
            <w:tcW w:w="640" w:type="pct"/>
            <w:hideMark/>
          </w:tcPr>
          <w:p w:rsidR="00CC77AE" w:rsidRPr="00CC77AE" w:rsidRDefault="00CC7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2305</w:t>
            </w:r>
          </w:p>
        </w:tc>
        <w:tc>
          <w:tcPr>
            <w:tcW w:w="640" w:type="pct"/>
            <w:hideMark/>
          </w:tcPr>
          <w:p w:rsidR="00CC77AE" w:rsidRPr="00CC77AE" w:rsidRDefault="00CC77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2905</w:t>
            </w:r>
          </w:p>
        </w:tc>
      </w:tr>
      <w:tr w:rsidR="00CC77AE" w:rsidRPr="00CC77AE" w:rsidTr="000A105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1" w:type="pct"/>
            <w:hideMark/>
          </w:tcPr>
          <w:p w:rsidR="00CC77AE" w:rsidRPr="00CC77AE" w:rsidRDefault="00CC77AE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учреждений/ групп,  реализующих </w:t>
            </w:r>
            <w:r w:rsidRPr="00CC77A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основную общеобразовательную программу дошкольного образования</w:t>
            </w:r>
          </w:p>
        </w:tc>
        <w:tc>
          <w:tcPr>
            <w:tcW w:w="388" w:type="pct"/>
            <w:noWrap/>
            <w:hideMark/>
          </w:tcPr>
          <w:p w:rsidR="00CC77AE" w:rsidRPr="00CC77AE" w:rsidRDefault="00CC77AE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41" w:type="pct"/>
            <w:hideMark/>
          </w:tcPr>
          <w:p w:rsidR="00CC77AE" w:rsidRPr="00CC77AE" w:rsidRDefault="00CC77AE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10/85</w:t>
            </w:r>
          </w:p>
        </w:tc>
        <w:tc>
          <w:tcPr>
            <w:tcW w:w="641" w:type="pct"/>
            <w:hideMark/>
          </w:tcPr>
          <w:p w:rsidR="00CC77AE" w:rsidRPr="00CC77AE" w:rsidRDefault="00CC77AE">
            <w:pPr>
              <w:spacing w:line="276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/81</w:t>
            </w:r>
          </w:p>
        </w:tc>
        <w:tc>
          <w:tcPr>
            <w:tcW w:w="640" w:type="pct"/>
            <w:hideMark/>
          </w:tcPr>
          <w:p w:rsidR="00CC77AE" w:rsidRPr="00CC77AE" w:rsidRDefault="00CC77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10/93</w:t>
            </w:r>
          </w:p>
        </w:tc>
        <w:tc>
          <w:tcPr>
            <w:tcW w:w="640" w:type="pct"/>
            <w:hideMark/>
          </w:tcPr>
          <w:p w:rsidR="00CC77AE" w:rsidRPr="00CC77AE" w:rsidRDefault="00CC77A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77AE">
              <w:rPr>
                <w:rFonts w:ascii="Times New Roman" w:hAnsi="Times New Roman" w:cs="Times New Roman"/>
                <w:sz w:val="24"/>
                <w:szCs w:val="24"/>
              </w:rPr>
              <w:t>11/123</w:t>
            </w:r>
          </w:p>
        </w:tc>
      </w:tr>
    </w:tbl>
    <w:p w:rsidR="00CC77AE" w:rsidRPr="00CC77AE" w:rsidRDefault="00CC77AE" w:rsidP="00CC77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К 2016 году численность детей в возрасте от 1 до 7 лет составит </w:t>
      </w:r>
      <w:r w:rsidRPr="00CC77AE">
        <w:rPr>
          <w:rFonts w:ascii="Times New Roman" w:hAnsi="Times New Roman" w:cs="Times New Roman"/>
          <w:b/>
          <w:sz w:val="24"/>
          <w:szCs w:val="24"/>
        </w:rPr>
        <w:t>3419 человек</w:t>
      </w:r>
      <w:r w:rsidRPr="00CC77AE">
        <w:rPr>
          <w:rFonts w:ascii="Times New Roman" w:hAnsi="Times New Roman" w:cs="Times New Roman"/>
          <w:sz w:val="24"/>
          <w:szCs w:val="24"/>
        </w:rPr>
        <w:t xml:space="preserve">, что повлечет за собой увеличение количества детей стоящих в очереди на получение места в дошкольном образовательном учреждении. 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77AE">
        <w:rPr>
          <w:rFonts w:ascii="Times New Roman" w:hAnsi="Times New Roman" w:cs="Times New Roman"/>
          <w:sz w:val="24"/>
          <w:szCs w:val="24"/>
        </w:rPr>
        <w:t>С целью увеличения охвата детей дошкольным образованием в городе в  рамках государственной программы Ханты-Мансийского автономного округа – Югры «Развитие образования в Ханты - Мансийском автономном округе – Югре на 2014-2020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AE">
        <w:rPr>
          <w:rFonts w:ascii="Times New Roman" w:hAnsi="Times New Roman" w:cs="Times New Roman"/>
          <w:bCs/>
          <w:sz w:val="24"/>
          <w:szCs w:val="24"/>
        </w:rPr>
        <w:t xml:space="preserve">ведется </w:t>
      </w:r>
      <w:r w:rsidRPr="00CC77AE">
        <w:rPr>
          <w:rFonts w:ascii="Times New Roman" w:hAnsi="Times New Roman" w:cs="Times New Roman"/>
          <w:sz w:val="24"/>
          <w:szCs w:val="24"/>
        </w:rPr>
        <w:t>строительство детского сада проектной мощностью 300 мест в 5-м микрорайоне (программа «Сотрудничество») и на 300 мест по адресу Бульвар Сибирский в рамках государственно-частного партнерства.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AE">
        <w:rPr>
          <w:rFonts w:ascii="Times New Roman" w:hAnsi="Times New Roman" w:cs="Times New Roman"/>
          <w:sz w:val="24"/>
          <w:szCs w:val="24"/>
        </w:rPr>
        <w:t>После  ввода в эксплуатацию двух детских садов общей проектной мощностью более 600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AE">
        <w:rPr>
          <w:rFonts w:ascii="Times New Roman" w:hAnsi="Times New Roman" w:cs="Times New Roman"/>
          <w:sz w:val="24"/>
          <w:szCs w:val="24"/>
        </w:rPr>
        <w:t>в 2016 году, показатель «Обеспеченность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AE">
        <w:rPr>
          <w:rFonts w:ascii="Times New Roman" w:hAnsi="Times New Roman" w:cs="Times New Roman"/>
          <w:sz w:val="24"/>
          <w:szCs w:val="24"/>
        </w:rPr>
        <w:t>детей в возрасте от 1 до 7 лет местами в дошкольных образовательных учреждениях» составит 87 мест на 100 детей.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 xml:space="preserve">Дошкольным образованием  будут охвачены </w:t>
      </w:r>
      <w:r w:rsidRPr="00CC77AE">
        <w:rPr>
          <w:rFonts w:ascii="Times New Roman" w:hAnsi="Times New Roman" w:cs="Times New Roman"/>
          <w:b/>
          <w:sz w:val="24"/>
          <w:szCs w:val="24"/>
        </w:rPr>
        <w:t>2897 детей - 87%.</w:t>
      </w:r>
      <w:r w:rsidRPr="00CC77AE">
        <w:rPr>
          <w:rFonts w:ascii="Times New Roman" w:hAnsi="Times New Roman" w:cs="Times New Roman"/>
          <w:sz w:val="24"/>
          <w:szCs w:val="24"/>
        </w:rPr>
        <w:t xml:space="preserve"> В том числе охват детей в возрасте от 3  до 7 лет составит 100 % (2250детей), от 2 до 3 лет  - 100% (</w:t>
      </w:r>
      <w:r w:rsidRPr="00CC77AE">
        <w:rPr>
          <w:rFonts w:ascii="Times New Roman" w:hAnsi="Times New Roman" w:cs="Times New Roman"/>
          <w:b/>
          <w:sz w:val="24"/>
          <w:szCs w:val="24"/>
        </w:rPr>
        <w:t>570 детей</w:t>
      </w:r>
      <w:r w:rsidRPr="00CC77AE">
        <w:rPr>
          <w:rFonts w:ascii="Times New Roman" w:hAnsi="Times New Roman" w:cs="Times New Roman"/>
          <w:sz w:val="24"/>
          <w:szCs w:val="24"/>
        </w:rPr>
        <w:t>), и в возрасте от 1,5 до 2 лет- 14 % (</w:t>
      </w:r>
      <w:r w:rsidRPr="00CC77AE">
        <w:rPr>
          <w:rFonts w:ascii="Times New Roman" w:hAnsi="Times New Roman" w:cs="Times New Roman"/>
          <w:b/>
          <w:sz w:val="24"/>
          <w:szCs w:val="24"/>
        </w:rPr>
        <w:t>77 детей</w:t>
      </w:r>
      <w:r w:rsidRPr="00CC77AE">
        <w:rPr>
          <w:rFonts w:ascii="Times New Roman" w:hAnsi="Times New Roman" w:cs="Times New Roman"/>
          <w:sz w:val="24"/>
          <w:szCs w:val="24"/>
        </w:rPr>
        <w:t>).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sz w:val="24"/>
          <w:szCs w:val="24"/>
        </w:rPr>
        <w:t>Таким образом, введение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77AE">
        <w:rPr>
          <w:rFonts w:ascii="Times New Roman" w:hAnsi="Times New Roman" w:cs="Times New Roman"/>
          <w:sz w:val="24"/>
          <w:szCs w:val="24"/>
        </w:rPr>
        <w:t xml:space="preserve">в эксплуатацию новых детских садов увеличит охват детей дошкольным образованием до 87 %, увеличит процент обеспеченность местами в дошкольных </w:t>
      </w:r>
      <w:r w:rsidRPr="00CC77AE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образовательных учреждения до 119,3% от норматива, обеспечит прием в детские сады детей с 1,5 лет. </w:t>
      </w:r>
    </w:p>
    <w:p w:rsidR="00CC77AE" w:rsidRPr="00CC77AE" w:rsidRDefault="00CC77AE" w:rsidP="00CC77A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77AE">
        <w:rPr>
          <w:rFonts w:ascii="Times New Roman" w:hAnsi="Times New Roman" w:cs="Times New Roman"/>
          <w:b/>
          <w:sz w:val="24"/>
          <w:szCs w:val="24"/>
        </w:rPr>
        <w:t xml:space="preserve">С 2016 года потребность услуги  дошкольного образования будет полностью удовлетворена. </w:t>
      </w:r>
    </w:p>
    <w:sectPr w:rsidR="00CC77AE" w:rsidRPr="00CC77AE" w:rsidSect="00650975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0E33"/>
    <w:multiLevelType w:val="hybridMultilevel"/>
    <w:tmpl w:val="56DA51D8"/>
    <w:lvl w:ilvl="0" w:tplc="DF6E2F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A3BCE"/>
    <w:multiLevelType w:val="hybridMultilevel"/>
    <w:tmpl w:val="D99268EC"/>
    <w:lvl w:ilvl="0" w:tplc="AC9C6B18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650"/>
    <w:rsid w:val="000A1055"/>
    <w:rsid w:val="00250D16"/>
    <w:rsid w:val="0025722F"/>
    <w:rsid w:val="002802F2"/>
    <w:rsid w:val="002F149A"/>
    <w:rsid w:val="00320A30"/>
    <w:rsid w:val="00360CF9"/>
    <w:rsid w:val="003B1C68"/>
    <w:rsid w:val="00412932"/>
    <w:rsid w:val="004166EB"/>
    <w:rsid w:val="00513708"/>
    <w:rsid w:val="005859C0"/>
    <w:rsid w:val="005E4C51"/>
    <w:rsid w:val="00650975"/>
    <w:rsid w:val="00684F86"/>
    <w:rsid w:val="00840B85"/>
    <w:rsid w:val="008B2A05"/>
    <w:rsid w:val="00924327"/>
    <w:rsid w:val="009F3B9C"/>
    <w:rsid w:val="00AB7E93"/>
    <w:rsid w:val="00B56F12"/>
    <w:rsid w:val="00B67DF4"/>
    <w:rsid w:val="00CC77AE"/>
    <w:rsid w:val="00DA36EB"/>
    <w:rsid w:val="00DF6650"/>
    <w:rsid w:val="00E311C0"/>
    <w:rsid w:val="00E77AA9"/>
    <w:rsid w:val="00EC4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8B2A0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22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8B2A0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5">
    <w:name w:val="Body Text"/>
    <w:basedOn w:val="a"/>
    <w:link w:val="a6"/>
    <w:unhideWhenUsed/>
    <w:rsid w:val="008B2A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8B2A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1C0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CC77AE"/>
    <w:rPr>
      <w:color w:val="0000FF"/>
      <w:u w:val="single"/>
    </w:rPr>
  </w:style>
  <w:style w:type="table" w:styleId="-4">
    <w:name w:val="Light Grid Accent 4"/>
    <w:basedOn w:val="a1"/>
    <w:uiPriority w:val="62"/>
    <w:rsid w:val="000A105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8B2A0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22F"/>
    <w:pPr>
      <w:ind w:left="720"/>
      <w:contextualSpacing/>
    </w:pPr>
  </w:style>
  <w:style w:type="character" w:customStyle="1" w:styleId="80">
    <w:name w:val="Заголовок 8 Знак"/>
    <w:basedOn w:val="a0"/>
    <w:link w:val="8"/>
    <w:semiHidden/>
    <w:rsid w:val="008B2A05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5">
    <w:name w:val="Body Text"/>
    <w:basedOn w:val="a"/>
    <w:link w:val="a6"/>
    <w:unhideWhenUsed/>
    <w:rsid w:val="008B2A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8B2A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11C0"/>
    <w:rPr>
      <w:rFonts w:ascii="Tahoma" w:hAnsi="Tahoma" w:cs="Tahoma"/>
      <w:sz w:val="16"/>
      <w:szCs w:val="16"/>
    </w:rPr>
  </w:style>
  <w:style w:type="character" w:styleId="a9">
    <w:name w:val="Hyperlink"/>
    <w:semiHidden/>
    <w:unhideWhenUsed/>
    <w:rsid w:val="00CC77AE"/>
    <w:rPr>
      <w:color w:val="0000FF"/>
      <w:u w:val="single"/>
    </w:rPr>
  </w:style>
  <w:style w:type="table" w:styleId="-4">
    <w:name w:val="Light Grid Accent 4"/>
    <w:basedOn w:val="a1"/>
    <w:uiPriority w:val="62"/>
    <w:rsid w:val="000A1055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.ugorsk.ru/about/struktura/service/2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2"/>
    </mc:Choice>
    <mc:Fallback>
      <c:style val="2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414036240748137"/>
          <c:w val="1"/>
          <c:h val="0.7339732124961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2.0799136550126805E-2"/>
                  <c:y val="-5.443014533342469E-2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-2.1656173135528985E-2"/>
                  <c:y val="2.728749159062699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2012
35,6</a:t>
                    </a:r>
                    <a:r>
                      <a:rPr lang="ru-RU"/>
                      <a:t> </a:t>
                    </a:r>
                    <a:endParaRPr lang="en-US"/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8.686587822288469E-2"/>
                  <c:y val="-0.21528169925189691"/>
                </c:manualLayout>
              </c:layout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3"/>
              <c:layout>
                <c:manualLayout>
                  <c:x val="4.6609218820369759E-2"/>
                  <c:y val="-9.604233416286783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2014
29,1</a:t>
                    </a:r>
                  </a:p>
                </c:rich>
              </c:tx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4"/>
              <c:layout>
                <c:manualLayout>
                  <c:x val="9.2197798191894761E-2"/>
                  <c:y val="9.114900758770815E-2"/>
                </c:manualLayout>
              </c:layout>
              <c:dLblPos val="bestFit"/>
              <c:showLegendKey val="1"/>
              <c:showVal val="1"/>
              <c:showCatName val="1"/>
              <c:showSerName val="0"/>
              <c:showPercent val="0"/>
              <c:showBubbleSize val="0"/>
              <c:separator>
</c:separator>
            </c:dLbl>
            <c:showLegendKey val="1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34.1</c:v>
                </c:pt>
                <c:pt idx="1">
                  <c:v>35.6</c:v>
                </c:pt>
                <c:pt idx="2">
                  <c:v>31.3</c:v>
                </c:pt>
                <c:pt idx="3" formatCode="dd/mmm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CherepanovaVS</dc:creator>
  <cp:lastModifiedBy>Шатохина Анна Владимировна</cp:lastModifiedBy>
  <cp:revision>2</cp:revision>
  <dcterms:created xsi:type="dcterms:W3CDTF">2015-11-25T12:01:00Z</dcterms:created>
  <dcterms:modified xsi:type="dcterms:W3CDTF">2015-11-25T12:01:00Z</dcterms:modified>
</cp:coreProperties>
</file>