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0A" w:rsidRDefault="006F7E0A" w:rsidP="006F7E0A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деятельности</w:t>
      </w:r>
      <w:r w:rsidRPr="006F7E0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6F7E0A">
        <w:rPr>
          <w:rFonts w:ascii="Times New Roman" w:eastAsia="Times New Roman" w:hAnsi="Times New Roman" w:cs="Times New Roman"/>
          <w:sz w:val="24"/>
          <w:szCs w:val="24"/>
          <w:lang w:eastAsia="ar-SA"/>
        </w:rPr>
        <w:t>ежведомственной комиссии города Югорска по противодействию экстремистской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2020 году.</w:t>
      </w:r>
    </w:p>
    <w:p w:rsidR="006F7E0A" w:rsidRDefault="006F7E0A" w:rsidP="006F7E0A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E0A" w:rsidRDefault="006F7E0A" w:rsidP="006F7E0A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2020 году проведено 4 заседания межведомственной комиссии города Югорска по противодействию экстремистской деятельности.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заседаний рассмотрены вопросы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реализации профилактических мер в местах компактного проживания иностранных граждан, социализации и адаптации мигрантов в культурное и социальное пространство города Югорска, информационном противодействии террористической и экстремистской идеологии и др. </w:t>
      </w:r>
    </w:p>
    <w:p w:rsidR="006F7E0A" w:rsidRDefault="006F7E0A" w:rsidP="006F7E0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муниципальной программы «Развитие гражданского общества, реализация государственной национальной политики, профилактика экстремизма»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организованы городской интернет-конкурс «Культурное наследие народов России» среди обучающихся 10-и образовательных организаций; на базе молодежного центра «Гелиос» организован фотоконкурс « Диалог культур» среди учащихся старших классов общеобразовательных учреждений, студентов среднего профессионального образования и работающей молодежи; в центральной городской библиотеке им. А.И.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Харизовой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создан интерактивный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видеоконтент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«Виртуальное путешествие «Культура – центр открытий» на 5 национальных языках народов, проживающих на территории Югорска; издан буклет "Путеводитель по учреждениям культуры города Югорска" с QR-кодом, проведены презентации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интерактивного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видеоконтента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 участием представителей национальных диаспор, мигрантов и учащихся общеобразовательных организаций.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В городском парке в рамках народного гуляния в честь Дня России проведен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оффлайн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- концерт казачьей культуры «Любо, братцы, любо»,  на базе Центра Югорского спорта организован онлайн фестиваль-конкурс «Национальные виды спорта» при участии  4 национально-культурных объединений: общественной организации марийцев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Лумпеледыш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», татаро-башкирской общественной организации «Булгар», местного отделения общественной организации «Спасение Югры» и общественной организации киргизов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Келечек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На конкурс-фестиваль были представлены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видеопрезентации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национальных видов спорта и традиционных национальных игр: марийской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Биляша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», хантыйской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Талтыюх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», татаро-башкирской борьбы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Курэш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» и киргизской «Орда». В рамках информационного противодействия террористической и экстремистской идеологии изготовлены двухсторонние цветные плакаты формата «Телефонный терроризм», «Советы по безопасной работе в Интернете», «Правила поведения при участии в массовых мероприятиях». </w:t>
      </w:r>
    </w:p>
    <w:p w:rsidR="006F7E0A" w:rsidRDefault="006F7E0A" w:rsidP="006F7E0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нформация о деятельности по профилактике экстремизма размещал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ась в газете «Югорский вестник»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эфире Югорского телевидения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Освещались мероприятия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направленны</w:t>
      </w:r>
      <w:r w:rsidR="00B960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гармонизацию межэтнических и межрелигиозных отношений, на сохранение мира и согласия в многонациональном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сообществе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города Югорска. </w:t>
      </w:r>
    </w:p>
    <w:p w:rsidR="006F7E0A" w:rsidRDefault="006F7E0A" w:rsidP="006F7E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2020 году главным показателем результативности проводимого на территории Югорска комплекса мер по профилактике  экстремизма является сохранение стабильной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этноконфессиональной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обстановки. По результатам окружного социологического исследования за 2020 год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, большинство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респондентов отметили, что межнациональные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отношения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доброжелательные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960BD" w:rsidRPr="00B960BD">
        <w:t xml:space="preserve"> </w:t>
      </w:r>
      <w:r w:rsidR="00B960BD" w:rsidRP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способс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твующие общественному согласию (96</w:t>
      </w:r>
      <w:r w:rsidR="00B960BD" w:rsidRP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>а межконфессиональные отношения</w:t>
      </w:r>
      <w:bookmarkStart w:id="0" w:name="_GoBack"/>
      <w:bookmarkEnd w:id="0"/>
      <w:r w:rsidR="00B960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бесконфликтные (95%).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R="006F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A"/>
    <w:rsid w:val="006F7E0A"/>
    <w:rsid w:val="00B960BD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0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0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dcterms:created xsi:type="dcterms:W3CDTF">2021-02-02T12:07:00Z</dcterms:created>
  <dcterms:modified xsi:type="dcterms:W3CDTF">2021-02-03T05:35:00Z</dcterms:modified>
</cp:coreProperties>
</file>