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8C55EA" w:rsidP="003A084C">
      <w:pPr>
        <w:pStyle w:val="Title"/>
        <w:spacing w:before="0" w:after="0" w:line="276" w:lineRule="auto"/>
        <w:ind w:right="4534" w:firstLine="0"/>
        <w:jc w:val="left"/>
        <w:rPr>
          <w:rFonts w:ascii="PT Astra Serif" w:hAnsi="PT Astra Serif"/>
          <w:sz w:val="26"/>
          <w:szCs w:val="26"/>
        </w:rPr>
      </w:pPr>
      <w:r w:rsidRPr="008C55EA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proofErr w:type="gramStart"/>
      <w:r w:rsidRPr="008C55EA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8C55EA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512921">
        <w:rPr>
          <w:rFonts w:ascii="PT Astra Serif" w:hAnsi="PT Astra Serif"/>
          <w:sz w:val="26"/>
          <w:szCs w:val="26"/>
        </w:rPr>
        <w:t>,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 xml:space="preserve">для муниципального </w:t>
      </w:r>
      <w:proofErr w:type="gramStart"/>
      <w:r w:rsidR="003A084C" w:rsidRPr="003A084C">
        <w:rPr>
          <w:rFonts w:ascii="PT Astra Serif" w:hAnsi="PT Astra Serif"/>
          <w:sz w:val="26"/>
          <w:szCs w:val="26"/>
        </w:rPr>
        <w:t xml:space="preserve">контроля </w:t>
      </w:r>
      <w:r w:rsidR="008C55EA" w:rsidRPr="008C55EA">
        <w:rPr>
          <w:rFonts w:ascii="PT Astra Serif" w:hAnsi="PT Astra Serif"/>
          <w:sz w:val="26"/>
          <w:szCs w:val="26"/>
        </w:rPr>
        <w:t>за</w:t>
      </w:r>
      <w:proofErr w:type="gramEnd"/>
      <w:r w:rsidR="008C55EA" w:rsidRPr="008C55EA">
        <w:rPr>
          <w:rFonts w:ascii="PT Astra Serif" w:hAnsi="PT Astra Serif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A278B4" w:rsidRDefault="0077069B" w:rsidP="003A084C">
      <w:pPr>
        <w:tabs>
          <w:tab w:val="left" w:pos="936"/>
        </w:tabs>
        <w:ind w:firstLine="0"/>
        <w:rPr>
          <w:rFonts w:ascii="PT Astra Serif" w:hAnsi="PT Astra Serif"/>
          <w:b/>
          <w:sz w:val="26"/>
          <w:szCs w:val="26"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  <w:r w:rsidR="00A278B4"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</w:t>
      </w:r>
      <w:r w:rsidR="003A084C" w:rsidRPr="003A084C">
        <w:rPr>
          <w:rFonts w:ascii="PT Astra Serif" w:hAnsi="PT Astra Serif"/>
          <w:sz w:val="26"/>
          <w:szCs w:val="26"/>
        </w:rPr>
        <w:t xml:space="preserve">для муниципального контроля </w:t>
      </w:r>
      <w:r w:rsidR="008C55EA" w:rsidRPr="008C55EA">
        <w:rPr>
          <w:rFonts w:ascii="PT Astra Serif" w:hAnsi="PT Astra Serif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0" w:name="_GoBack"/>
      <w:bookmarkEnd w:id="0"/>
      <w:r w:rsidR="003A084C" w:rsidRPr="003A084C">
        <w:rPr>
          <w:rFonts w:ascii="PT Astra Serif" w:hAnsi="PT Astra Serif"/>
          <w:sz w:val="26"/>
          <w:szCs w:val="26"/>
        </w:rPr>
        <w:t xml:space="preserve"> в дорожном хозяйстве</w:t>
      </w:r>
      <w:r w:rsidR="00512921" w:rsidRPr="00512921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</w:t>
      </w:r>
      <w:r w:rsidR="003A084C" w:rsidRPr="003A084C">
        <w:rPr>
          <w:rFonts w:ascii="PT Astra Serif" w:hAnsi="PT Astra Serif"/>
          <w:b/>
          <w:sz w:val="28"/>
          <w:szCs w:val="28"/>
        </w:rPr>
        <w:t>для муниципального контроля на автомобильном транспорте, городском наземном электрическом транспорте и в дорожном хозяйстве</w:t>
      </w:r>
      <w:r w:rsidRPr="000244B2">
        <w:rPr>
          <w:rFonts w:ascii="PT Astra Serif" w:hAnsi="PT Astra Serif"/>
          <w:b/>
          <w:sz w:val="28"/>
          <w:szCs w:val="28"/>
        </w:rPr>
        <w:t>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A084C"/>
    <w:rsid w:val="003D4AC0"/>
    <w:rsid w:val="00416F75"/>
    <w:rsid w:val="00442B4A"/>
    <w:rsid w:val="00442F52"/>
    <w:rsid w:val="00460548"/>
    <w:rsid w:val="004806BD"/>
    <w:rsid w:val="00510C36"/>
    <w:rsid w:val="00512921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55EA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F6AD-D143-4853-9AAC-EA30153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19</cp:revision>
  <cp:lastPrinted>2021-11-26T06:29:00Z</cp:lastPrinted>
  <dcterms:created xsi:type="dcterms:W3CDTF">2021-08-11T10:26:00Z</dcterms:created>
  <dcterms:modified xsi:type="dcterms:W3CDTF">2021-11-26T07:53:00Z</dcterms:modified>
</cp:coreProperties>
</file>