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адресу: район Югорск-2, дом № 15, город Югорск, расположенное на земельном участке с кадастровым номером 86:22:0015001:78 разрешенное использование: для размещения административного здания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города Югорска от 2</w:t>
            </w:r>
            <w:r w:rsidR="00DC5893">
              <w:rPr>
                <w:rFonts w:ascii="Times New Roman" w:hAnsi="Times New Roman" w:cs="Times New Roman"/>
                <w:sz w:val="24"/>
                <w:szCs w:val="24"/>
              </w:rPr>
              <w:t>8 июня 2019 года № 1430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Нежилое двухэтажное кирпичное здание, общей площадью 713,3 кв. м.,  год постройки – 1966, фундамент – бетонный, стены - кирпичные, перекрытия – железобетонные.</w:t>
            </w:r>
            <w:proofErr w:type="gramEnd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Расположено на земельном участке общей площадью 1784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0A6A3B" w:rsidRPr="000A6A3B" w:rsidRDefault="000A6A3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Договоры аренды заключённые на неопределённый срок:</w:t>
            </w:r>
          </w:p>
          <w:p w:rsidR="000A6A3B" w:rsidRPr="000A6A3B" w:rsidRDefault="000A6A3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-от 01.12.2003 № 40;</w:t>
            </w:r>
          </w:p>
          <w:p w:rsidR="000A6A3B" w:rsidRPr="000A6A3B" w:rsidRDefault="000A6A3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-от 22.03.2004 № 56;</w:t>
            </w:r>
          </w:p>
          <w:p w:rsidR="000A6A3B" w:rsidRPr="000A6A3B" w:rsidRDefault="000A6A3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-от 30.05.2006 № 37;</w:t>
            </w:r>
          </w:p>
          <w:p w:rsidR="000A6A3B" w:rsidRPr="000A6A3B" w:rsidRDefault="000A6A3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-от 04.04.2007 № 15.</w:t>
            </w:r>
          </w:p>
          <w:p w:rsidR="000A6A3B" w:rsidRPr="000A6A3B" w:rsidRDefault="000A6A3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Договоры безвозмездного пользования заключённые на неопределённый срок:</w:t>
            </w:r>
          </w:p>
          <w:p w:rsidR="000A6A3B" w:rsidRPr="000A6A3B" w:rsidRDefault="000A6A3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- от 29.12.2007 № 30;</w:t>
            </w:r>
          </w:p>
          <w:p w:rsidR="000A6A3B" w:rsidRPr="000A6A3B" w:rsidRDefault="000A6A3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 15.06.2015 № 05;</w:t>
            </w:r>
          </w:p>
          <w:p w:rsidR="00D17F7B" w:rsidRDefault="000A6A3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- от 08.08.2016 № 07;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объекта, является фиксированной и  составляет </w:t>
            </w:r>
            <w:r w:rsidRPr="006D0D35">
              <w:rPr>
                <w:rFonts w:ascii="Times New Roman" w:hAnsi="Times New Roman" w:cs="Times New Roman"/>
                <w:b/>
                <w:sz w:val="24"/>
                <w:szCs w:val="24"/>
              </w:rPr>
              <w:t>922 328,00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b/>
                <w:sz w:val="24"/>
                <w:szCs w:val="24"/>
              </w:rPr>
              <w:t>2 761 564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1 380 782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276 156,40 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D110A" w:rsidRPr="000A6A3B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6D110A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138 078,20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11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6D110A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552 312,80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="0018776A"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http://utp.sberbank-ast.ru/Bankruptcy/Notice/697/Requisites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18776A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DC589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.07.2019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Pr="00F75DBC" w:rsidRDefault="00DC5893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DC589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DC589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DC589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.08.2019 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3450DE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7026C5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F75DBC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F75DBC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F75DBC" w:rsidTr="002F4D34">
        <w:tc>
          <w:tcPr>
            <w:tcW w:w="2660" w:type="dxa"/>
          </w:tcPr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F75DBC" w:rsidRDefault="00F75DBC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 на продажу с аукциона 24.05.2019, аукцион был признан не состоявшимся ввиду отсутствия заявок на участие в аукционе.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B6CC4"/>
    <w:rsid w:val="002F4D34"/>
    <w:rsid w:val="003450DE"/>
    <w:rsid w:val="004802FD"/>
    <w:rsid w:val="00484968"/>
    <w:rsid w:val="006B118F"/>
    <w:rsid w:val="006C3D48"/>
    <w:rsid w:val="006D0D35"/>
    <w:rsid w:val="006D110A"/>
    <w:rsid w:val="007026C5"/>
    <w:rsid w:val="00820CA8"/>
    <w:rsid w:val="0099470B"/>
    <w:rsid w:val="00A56581"/>
    <w:rsid w:val="00B157F9"/>
    <w:rsid w:val="00C4149B"/>
    <w:rsid w:val="00CB13B5"/>
    <w:rsid w:val="00D17F7B"/>
    <w:rsid w:val="00D24C20"/>
    <w:rsid w:val="00DC5893"/>
    <w:rsid w:val="00E477B9"/>
    <w:rsid w:val="00E661D2"/>
    <w:rsid w:val="00EE6948"/>
    <w:rsid w:val="00F75DBC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71A4-5260-4E10-8D1A-EF4E0DFC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15</cp:revision>
  <cp:lastPrinted>2019-07-08T05:09:00Z</cp:lastPrinted>
  <dcterms:created xsi:type="dcterms:W3CDTF">2019-06-25T04:55:00Z</dcterms:created>
  <dcterms:modified xsi:type="dcterms:W3CDTF">2019-07-08T09:52:00Z</dcterms:modified>
</cp:coreProperties>
</file>