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93" w:rsidRDefault="005132C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536593" w:rsidRDefault="00536593">
      <w:pPr>
        <w:pStyle w:val="ConsPlusTitle"/>
        <w:jc w:val="center"/>
      </w:pPr>
    </w:p>
    <w:p w:rsidR="00536593" w:rsidRDefault="005132C2">
      <w:pPr>
        <w:pStyle w:val="ConsPlusTitle"/>
        <w:jc w:val="center"/>
      </w:pPr>
      <w:r>
        <w:t>РАСПОРЯЖЕНИЕ</w:t>
      </w:r>
    </w:p>
    <w:p w:rsidR="00536593" w:rsidRDefault="005132C2">
      <w:pPr>
        <w:pStyle w:val="ConsPlusTitle"/>
        <w:jc w:val="center"/>
      </w:pPr>
      <w:r>
        <w:t>от 29 декабря 2022 г. N 4356-р</w:t>
      </w:r>
    </w:p>
    <w:p w:rsidR="00536593" w:rsidRDefault="00536593">
      <w:pPr>
        <w:pStyle w:val="ConsPlusNormal"/>
        <w:jc w:val="center"/>
        <w:rPr>
          <w:rFonts w:ascii="Arial" w:eastAsia="Arial" w:hAnsi="Arial" w:cs="Arial"/>
        </w:rPr>
      </w:pPr>
    </w:p>
    <w:p w:rsidR="00536593" w:rsidRDefault="005132C2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history="1">
        <w:r>
          <w:rPr>
            <w:color w:val="0000FF"/>
          </w:rPr>
          <w:t>стратегию</w:t>
        </w:r>
      </w:hyperlink>
      <w:r>
        <w:t xml:space="preserve"> действий в интересах женщин на 2023 - 2030 годы (далее - Стратегия).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2. Федеральным органам исполнительной власти руководствоваться положениями </w:t>
      </w:r>
      <w:hyperlink w:history="1">
        <w:r>
          <w:rPr>
            <w:color w:val="0000FF"/>
          </w:rPr>
          <w:t>Стратегии</w:t>
        </w:r>
      </w:hyperlink>
      <w:r>
        <w:t xml:space="preserve"> при решении задач в области улучшения положения женщин.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3. Минтруду России совместно с заинтересованными федеральными органами исполнительной власти в 3-меся</w:t>
      </w:r>
      <w:r>
        <w:t xml:space="preserve">чный срок разработать и внести в Правительство Российской Федерации проект плана мероприятий по реализации в 2023 - 2026 годах </w:t>
      </w:r>
      <w:hyperlink w:history="1">
        <w:r>
          <w:rPr>
            <w:color w:val="0000FF"/>
          </w:rPr>
          <w:t>I этапа</w:t>
        </w:r>
      </w:hyperlink>
      <w:r>
        <w:t xml:space="preserve"> Стратегии.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4. Рекомендовать органам государственной власти субъектов Российской Федерации руководствоваться</w:t>
      </w:r>
      <w:r>
        <w:t xml:space="preserve"> положениями </w:t>
      </w:r>
      <w:hyperlink w:history="1">
        <w:r>
          <w:rPr>
            <w:color w:val="0000FF"/>
          </w:rPr>
          <w:t>Стратегии</w:t>
        </w:r>
      </w:hyperlink>
      <w:r>
        <w:t xml:space="preserve"> при решении задач в области улучшения положения женщин.</w:t>
      </w:r>
    </w:p>
    <w:p w:rsidR="00536593" w:rsidRDefault="00536593">
      <w:pPr>
        <w:pStyle w:val="ConsPlusNormal"/>
        <w:ind w:firstLine="540"/>
        <w:jc w:val="both"/>
      </w:pPr>
    </w:p>
    <w:p w:rsidR="00536593" w:rsidRDefault="005132C2">
      <w:pPr>
        <w:pStyle w:val="ConsPlusNormal"/>
        <w:jc w:val="right"/>
      </w:pPr>
      <w:r>
        <w:t>Председатель Правительства</w:t>
      </w:r>
    </w:p>
    <w:p w:rsidR="00536593" w:rsidRDefault="005132C2">
      <w:pPr>
        <w:pStyle w:val="ConsPlusNormal"/>
        <w:jc w:val="right"/>
      </w:pPr>
      <w:r>
        <w:t>Российской Федерации</w:t>
      </w:r>
    </w:p>
    <w:p w:rsidR="00536593" w:rsidRDefault="005132C2">
      <w:pPr>
        <w:pStyle w:val="ConsPlusNormal"/>
        <w:jc w:val="right"/>
      </w:pPr>
      <w:r>
        <w:t>М.МИШУСТИН</w:t>
      </w:r>
    </w:p>
    <w:p w:rsidR="00536593" w:rsidRDefault="00536593">
      <w:pPr>
        <w:pStyle w:val="ConsPlusNormal"/>
        <w:ind w:firstLine="540"/>
        <w:jc w:val="both"/>
      </w:pPr>
    </w:p>
    <w:p w:rsidR="00536593" w:rsidRDefault="00536593">
      <w:pPr>
        <w:pStyle w:val="ConsPlusNormal"/>
        <w:ind w:firstLine="540"/>
        <w:jc w:val="both"/>
      </w:pPr>
    </w:p>
    <w:p w:rsidR="00536593" w:rsidRDefault="00536593">
      <w:pPr>
        <w:pStyle w:val="ConsPlusNormal"/>
        <w:ind w:firstLine="540"/>
        <w:jc w:val="both"/>
      </w:pPr>
    </w:p>
    <w:p w:rsidR="00536593" w:rsidRDefault="00536593">
      <w:pPr>
        <w:pStyle w:val="ConsPlusNormal"/>
        <w:ind w:firstLine="540"/>
        <w:jc w:val="both"/>
      </w:pPr>
    </w:p>
    <w:p w:rsidR="00536593" w:rsidRDefault="00536593">
      <w:pPr>
        <w:pStyle w:val="ConsPlusNormal"/>
        <w:ind w:firstLine="540"/>
        <w:jc w:val="both"/>
      </w:pPr>
    </w:p>
    <w:p w:rsidR="00536593" w:rsidRDefault="005132C2">
      <w:pPr>
        <w:pStyle w:val="ConsPlusNormal"/>
        <w:jc w:val="right"/>
        <w:outlineLvl w:val="0"/>
      </w:pPr>
      <w:r>
        <w:t>Утверждена</w:t>
      </w:r>
    </w:p>
    <w:p w:rsidR="00536593" w:rsidRDefault="005132C2">
      <w:pPr>
        <w:pStyle w:val="ConsPlusNormal"/>
        <w:jc w:val="right"/>
      </w:pPr>
      <w:r>
        <w:t>распоряжением Правительства</w:t>
      </w:r>
    </w:p>
    <w:p w:rsidR="00536593" w:rsidRDefault="005132C2">
      <w:pPr>
        <w:pStyle w:val="ConsPlusNormal"/>
        <w:jc w:val="right"/>
      </w:pPr>
      <w:r>
        <w:t>Российской Федерации</w:t>
      </w:r>
    </w:p>
    <w:p w:rsidR="00536593" w:rsidRDefault="005132C2">
      <w:pPr>
        <w:pStyle w:val="ConsPlusNormal"/>
        <w:jc w:val="right"/>
      </w:pPr>
      <w:r>
        <w:t>от 29 декабря 2022 г. N 4356-р</w:t>
      </w:r>
    </w:p>
    <w:p w:rsidR="00536593" w:rsidRDefault="00536593">
      <w:pPr>
        <w:pStyle w:val="ConsPlusNormal"/>
        <w:ind w:firstLine="540"/>
        <w:jc w:val="both"/>
      </w:pPr>
    </w:p>
    <w:p w:rsidR="00536593" w:rsidRDefault="005132C2">
      <w:pPr>
        <w:pStyle w:val="ConsPlusTitle"/>
        <w:jc w:val="center"/>
      </w:pPr>
      <w:bookmarkStart w:id="1" w:name="Par24"/>
      <w:bookmarkEnd w:id="1"/>
      <w:r>
        <w:t>НАЦИОН</w:t>
      </w:r>
      <w:r>
        <w:t>АЛЬНАЯ СТРАТЕГИЯ</w:t>
      </w:r>
    </w:p>
    <w:p w:rsidR="00536593" w:rsidRDefault="005132C2">
      <w:pPr>
        <w:pStyle w:val="ConsPlusTitle"/>
        <w:jc w:val="center"/>
      </w:pPr>
      <w:r>
        <w:t>ДЕЙСТВИЙ В ИНТЕРЕСАХ ЖЕНЩИН НА 2023 - 2030 ГОДЫ</w:t>
      </w:r>
    </w:p>
    <w:p w:rsidR="00536593" w:rsidRDefault="00536593">
      <w:pPr>
        <w:pStyle w:val="ConsPlusNormal"/>
        <w:jc w:val="center"/>
        <w:rPr>
          <w:rFonts w:ascii="Arial" w:eastAsia="Arial" w:hAnsi="Arial" w:cs="Arial"/>
        </w:rPr>
      </w:pPr>
    </w:p>
    <w:p w:rsidR="00536593" w:rsidRDefault="005132C2">
      <w:pPr>
        <w:pStyle w:val="ConsPlusTitle"/>
        <w:jc w:val="center"/>
        <w:outlineLvl w:val="1"/>
      </w:pPr>
      <w:r>
        <w:t>I. Общие положения</w:t>
      </w:r>
    </w:p>
    <w:p w:rsidR="00536593" w:rsidRDefault="00536593">
      <w:pPr>
        <w:pStyle w:val="ConsPlusNormal"/>
        <w:jc w:val="center"/>
        <w:rPr>
          <w:rFonts w:ascii="Arial" w:eastAsia="Arial" w:hAnsi="Arial" w:cs="Arial"/>
        </w:rPr>
      </w:pPr>
    </w:p>
    <w:p w:rsidR="00536593" w:rsidRDefault="005132C2">
      <w:pPr>
        <w:pStyle w:val="ConsPlusNormal"/>
        <w:ind w:firstLine="540"/>
        <w:jc w:val="both"/>
      </w:pPr>
      <w:r>
        <w:t>Национальная стратегия действий в интересах женщин на 2023 - 2030 годы (далее - Стратегия) яв</w:t>
      </w:r>
      <w:r>
        <w:t>ляется основополагающим документом, определяющим основные направления государственной политики в интересах женщин на среднесрочный период. Стратегия направлена на консолидацию усилий федеральных органов государственной власти, органов государственной власт</w:t>
      </w:r>
      <w:r>
        <w:t>и субъектов Российской Федерации, органов местного самоуправления, делового сообщества, некоммерческих организаций и граждан Российской Федерации по обеспечению принципа равных прав и свобод мужчин и женщин и созданию равных возможностей для их реализации.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lastRenderedPageBreak/>
        <w:t xml:space="preserve">Правовую основу Стратегии составляют </w:t>
      </w:r>
      <w:hyperlink r:id="rId7" w:tooltip="https://login.consultant.ru/link/?req=doc&amp;base=LAW&amp;n=2875&amp;date=06.04.2023" w:history="1">
        <w:r>
          <w:rPr>
            <w:color w:val="0000FF"/>
          </w:rPr>
          <w:t>Конституция</w:t>
        </w:r>
      </w:hyperlink>
      <w:r>
        <w:t xml:space="preserve"> Российской Федерации, указы Президент</w:t>
      </w:r>
      <w:r>
        <w:t xml:space="preserve">а Российской Федерации от 9 октября 2007 г. </w:t>
      </w:r>
      <w:hyperlink r:id="rId8" w:tooltip="https://login.consultant.ru/link/?req=doc&amp;base=LAW&amp;n=165069&amp;date=06.04.2023&amp;dst=100061&amp;field=134" w:history="1">
        <w:r>
          <w:rPr>
            <w:color w:val="0000FF"/>
          </w:rPr>
          <w:t>N 1351</w:t>
        </w:r>
      </w:hyperlink>
      <w:r>
        <w:t xml:space="preserve"> "Об утверждении Концепции демографической политики Российской Федерации на период до 2025 года", от 7 мая 2018 г. </w:t>
      </w:r>
      <w:hyperlink r:id="rId9" w:tooltip="https://login.consultant.ru/link/?req=doc&amp;base=LAW&amp;n=358026&amp;date=06.04.2023" w:history="1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</w:t>
      </w:r>
      <w:r>
        <w:t xml:space="preserve"> период до 2024 года" и от 21 июля 2020 г. </w:t>
      </w:r>
      <w:hyperlink r:id="rId10" w:tooltip="https://login.consultant.ru/link/?req=doc&amp;base=LAW&amp;n=357927&amp;date=06.04.2023" w:history="1">
        <w:r>
          <w:rPr>
            <w:color w:val="0000FF"/>
          </w:rPr>
          <w:t>N 474</w:t>
        </w:r>
      </w:hyperlink>
      <w:r>
        <w:t xml:space="preserve"> "О национальных целях развития Рос</w:t>
      </w:r>
      <w:r>
        <w:t xml:space="preserve">сийской Федерации на период до 2030 года", а также </w:t>
      </w:r>
      <w:hyperlink r:id="rId11" w:tooltip="https://login.consultant.ru/link/?req=doc&amp;base=LAW&amp;n=167897&amp;date=06.04.2023&amp;dst=100073&amp;field=134" w:history="1">
        <w:r>
          <w:rPr>
            <w:color w:val="0000FF"/>
          </w:rPr>
          <w:t>Концепция</w:t>
        </w:r>
      </w:hyperlink>
      <w:r>
        <w:t xml:space="preserve"> государственной семейной политики в Российской Федерации на период до 2025 года, утвержденная распоряжением Правительства Российской Федерации от 25 августа 2014 г. N 1618-р, </w:t>
      </w:r>
      <w:hyperlink r:id="rId12" w:tooltip="https://login.consultant.ru/link/?req=doc&amp;base=LAW&amp;n=193464&amp;date=06.04.2023&amp;dst=100006&amp;field=134" w:history="1">
        <w:r>
          <w:rPr>
            <w:color w:val="0000FF"/>
          </w:rPr>
          <w:t>Стратегия</w:t>
        </w:r>
      </w:hyperlink>
      <w:r>
        <w:t xml:space="preserve"> действий в интересах граждан старшего поколения в Российской Федерации до 2025 года, утвержд</w:t>
      </w:r>
      <w:r>
        <w:t>енная распоряжением Правительства Российской Федерации от 5 февраля 2016 г. N 164-р, и иные документы стратегического планирования.</w:t>
      </w:r>
    </w:p>
    <w:p w:rsidR="00536593" w:rsidRDefault="00536593">
      <w:pPr>
        <w:pStyle w:val="ConsPlusNormal"/>
        <w:ind w:firstLine="540"/>
        <w:jc w:val="both"/>
      </w:pPr>
    </w:p>
    <w:p w:rsidR="00536593" w:rsidRDefault="005132C2">
      <w:pPr>
        <w:pStyle w:val="ConsPlusTitle"/>
        <w:jc w:val="center"/>
        <w:outlineLvl w:val="1"/>
      </w:pPr>
      <w:r>
        <w:t>II. Оценка и изменение положения женщин</w:t>
      </w:r>
    </w:p>
    <w:p w:rsidR="00536593" w:rsidRDefault="005132C2">
      <w:pPr>
        <w:pStyle w:val="ConsPlusTitle"/>
        <w:jc w:val="center"/>
      </w:pPr>
      <w:r>
        <w:t>в Российской Федерации</w:t>
      </w:r>
    </w:p>
    <w:p w:rsidR="00536593" w:rsidRDefault="00536593">
      <w:pPr>
        <w:pStyle w:val="ConsPlusNormal"/>
        <w:ind w:firstLine="540"/>
        <w:jc w:val="both"/>
        <w:rPr>
          <w:rFonts w:ascii="Arial" w:eastAsia="Arial" w:hAnsi="Arial" w:cs="Arial"/>
        </w:rPr>
      </w:pPr>
    </w:p>
    <w:p w:rsidR="00536593" w:rsidRDefault="005132C2">
      <w:pPr>
        <w:pStyle w:val="ConsPlusNormal"/>
        <w:ind w:firstLine="540"/>
        <w:jc w:val="both"/>
      </w:pPr>
      <w:r>
        <w:t>По данным Федеральной службы государственной статистики, на</w:t>
      </w:r>
      <w:r>
        <w:t xml:space="preserve"> начало 2022 года в Российской Федерации проживали 145,6 млн. человек, из них 77,9 млн. составляли женщины. Это более половины населения страны.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Российские женщины отличаются высоким уровнем образования и экономической активности. Более половины граждан, и</w:t>
      </w:r>
      <w:r>
        <w:t>меющих высшее образование, - женщины (55 процентов). Среди высококвалифицированных научных работников женщины составляют значительную часть (28,3 процента среди докторов наук и 43,4 процента среди кандидатов наук). В 2021 году доля занятых женщин в общей ч</w:t>
      </w:r>
      <w:r>
        <w:t>исленности занятого населения составила 48,6 процента.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Около 30 процентов организаций, являющихся субъектами малого и среднего бизнеса, возглавляют женщины. Наибольшее представительство женщин-предпринимателей характерно для сферы социальных и образователь</w:t>
      </w:r>
      <w:r>
        <w:t>ных услуг. Доля женского предпринимательства в социальной сфере достигает 90 процентов, в сфере услуг - 58 процентов. Женщинами реализуются проекты в сферах дошкольного и дополнительного образования, культуры, оказания социальных и иных общественно полезны</w:t>
      </w:r>
      <w:r>
        <w:t>х услуг.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Среди самозанятых женщины составляют 40 процентов. С целью поддержки самозанятых граждан расширяется практика применения государственной социальной помощи на основании социального контракта. Более чем в 4 раза увеличилось количество заключенных со</w:t>
      </w:r>
      <w:r>
        <w:t>циальных контрактов (2021 год - 282,1 тыс. заключенных социальных контрактов). В приоритетном порядке государственная социальная помощь на основании социального контракта оказывается семьям с детьми. С 2020 года программа социальных контрактов осуществляет</w:t>
      </w:r>
      <w:r>
        <w:t>ся при софинансировании за счет средств федерального бюджета.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Женщины активно участвуют в общественно-политической жизни, в государственном управлении.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 2016 года доля женщин, замещающих должности гражданской службы в центральных аппаратах федеральных орг</w:t>
      </w:r>
      <w:r>
        <w:t xml:space="preserve">анов государственной власти, за последние 5 лет увеличилась на 2,5 процентных пункта (2021 год - 59,4 процента), доля женщин среди государственных гражданских служащих органов исполнительной власти субъектов Российской Федерации - на 4,7 процентных пункта </w:t>
      </w:r>
      <w:r>
        <w:t>(2021 год - 74,2 процента).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lastRenderedPageBreak/>
        <w:t>Доля женщин в категории "руководители" в центральных аппаратах федеральных органов государственной власти увеличилась на 5,3 процентных пункта и составляет почти 40 процентов общего числа руководителей (2021 год - 1,2 тыс. женщи</w:t>
      </w:r>
      <w:r>
        <w:t>н). Среди государственных гражданских служащих исполнительных органов субъектов Российской Федерации доля женщин, замещающих должности категории "руководители", увеличилась на 2 процентных пункта (2021 год - 61 процент, 25,3 тыс. женщин).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среди</w:t>
      </w:r>
      <w:r>
        <w:t xml:space="preserve"> депутатов Государственной Думы Федерального Собрания Российской Федерации увеличилась на 2,7 процентных пункта (2021 год - 16,3 процента), доля женщин среди членов Совета Федерации Федерального Собрания Российской Федерации - на 3 процентных пункта (2021 </w:t>
      </w:r>
      <w:r>
        <w:t>год - 19,5 процента).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Несмотря на определенное улучшение, дисбаланс в представленности женщин на уровне принятия решений сохраняется.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 целом в Российской Федерации женщины ориентированы на полную занятость, карьерный рост в сочетании с семейными обязаннос</w:t>
      </w:r>
      <w:r>
        <w:t>тями и воспитанием детей.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В группе "руководители" в соответствии с общероссийским </w:t>
      </w:r>
      <w:hyperlink r:id="rId13" w:tooltip="https://login.consultant.ru/link/?req=doc&amp;base=LAW&amp;n=386337&amp;date=06.04.2023" w:history="1">
        <w:r>
          <w:rPr>
            <w:color w:val="0000FF"/>
          </w:rPr>
          <w:t>к</w:t>
        </w:r>
        <w:r>
          <w:rPr>
            <w:color w:val="0000FF"/>
          </w:rPr>
          <w:t>лассификатором</w:t>
        </w:r>
      </w:hyperlink>
      <w:r>
        <w:t xml:space="preserve"> занятий доля женщин-руководителей составляет 46,2 процента (2021 год). Вместе с тем женщины находятся в неравном положении по сравнению с мужчинами в сфере экономики. Женщины составляют абсолютное большинство в отраслях, в которых заработная</w:t>
      </w:r>
      <w:r>
        <w:t xml:space="preserve"> плата ниже средней по экономике (2021 год - доля женщин, занятых в области образования, составляла 82,4 процента, в области здравоохранения и социальных услуг - 79,8 процента, в гостиничном бизнесе и общественном питании - 73,5 процента и в торговле - 61,</w:t>
      </w:r>
      <w:r>
        <w:t>6 процента).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Сохраняются барьеры занятости для женщин, обусловленные стереотипными представлениями о социальных ролях мужчин и женщин. Женщины имеют высокую бытовую нагрузку, в том числе по уходу за детьми и иными членами семьи, полностью или частично лише</w:t>
      </w:r>
      <w:r>
        <w:t>нными способности к самообслуживанию.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 опросам Федеральной службы государственной статистики, работающие женщины тратят на ведение домашнего хозяйства на 1,5 - 2 часа, или в 2 - 2,5 раза, больше времени, чем мужчины. Это создает трудности в совмещении же</w:t>
      </w:r>
      <w:r>
        <w:t>нщинами семейных обязанностей и трудовой деятельности.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При высоком уровне образования и занятости разрыв в заработной плате женщин и мужчин в среднем по экономике практически не меняется и сохраняется на высоком уровне (28 процентов).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В настоящее время на </w:t>
      </w:r>
      <w:r>
        <w:t xml:space="preserve">корпоративном уровне формируется практика обеспечения равенства возможностей для мужчин и женщин. Компании реализуют специальные программы по развитию лидерства своих сотрудниц, ставят цели повышения доли женщин в правлении компаний. Проводится внутренний </w:t>
      </w:r>
      <w:r>
        <w:t>аудит распределения заработной платы и премий между мужчинами и женщинами с целью соблюдения принципа "равная оплата за труд равной сложности и интенсивности". Предусмотрены программы психологической поддержки женщин при выходе на работу после отпуска по у</w:t>
      </w:r>
      <w:r>
        <w:t>ходу за ребенком и программы профессионального развития, работы по гибкому графику для этой категории женщин.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lastRenderedPageBreak/>
        <w:t>В целях повышения конкурентоспособности женщин на рынке труда и создания условий для совмещения семейных обязанностей по воспитанию детей с трудовой деятельностью женщинам, имеющим детей дошкольного возраста, предоставлена возможность пройти профессиональн</w:t>
      </w:r>
      <w:r>
        <w:t>ое обучение. С 2020 года расширены категории женщин, для которых организуется профессиональное обучение и предоставляется возможность получения дополнительного профессионального образования.</w:t>
      </w:r>
    </w:p>
    <w:p w:rsidR="00536593" w:rsidRDefault="005132C2">
      <w:pPr>
        <w:pStyle w:val="ConsPlusNormal"/>
        <w:spacing w:before="240"/>
        <w:ind w:firstLine="540"/>
        <w:jc w:val="both"/>
        <w:rPr>
          <w:highlight w:val="yellow"/>
        </w:rPr>
      </w:pPr>
      <w:r>
        <w:rPr>
          <w:highlight w:val="yellow"/>
        </w:rPr>
        <w:t>Практически обеспечена стопроцентная доступность мест в государст</w:t>
      </w:r>
      <w:r>
        <w:rPr>
          <w:highlight w:val="yellow"/>
        </w:rPr>
        <w:t>венных и муниципальных дошкольных образовательных организациях. Так, по данным федеральной информационной системы доступности дошкольного образования, по состоянию на 1 января 2022 г. доступность дошкольного образования для детей в возрасте от 2 месяцев до</w:t>
      </w:r>
      <w:r>
        <w:rPr>
          <w:highlight w:val="yellow"/>
        </w:rPr>
        <w:t xml:space="preserve"> 3 лет составила 96,13 процента, для детей в возрасте от 3 до 7 лет - 99,58 процента.</w:t>
      </w:r>
    </w:p>
    <w:p w:rsidR="00536593" w:rsidRDefault="005132C2">
      <w:pPr>
        <w:pStyle w:val="ConsPlusNormal"/>
        <w:spacing w:before="240"/>
        <w:ind w:firstLine="540"/>
        <w:jc w:val="both"/>
        <w:rPr>
          <w:highlight w:val="yellow"/>
        </w:rPr>
      </w:pPr>
      <w:r>
        <w:rPr>
          <w:highlight w:val="yellow"/>
        </w:rPr>
        <w:t>Это способствовало росту занятости женщин, имеющих детей. Уровень занятости женщин в возрасте 20 - 49 лет, имеющих дете</w:t>
      </w:r>
      <w:r>
        <w:rPr>
          <w:highlight w:val="yellow"/>
        </w:rPr>
        <w:t>й в возрасте до 6 лет, увеличился на 2 процентных пункта (2021 год - 67,8 процента), в возрасте до 18 лет - увеличился на 1,9 процентных пункта (2021 год - 80,2 процента). Уровень занятости женщин, имеющих одного ребенка, увеличился на 1,9 процентных пункт</w:t>
      </w:r>
      <w:r>
        <w:rPr>
          <w:highlight w:val="yellow"/>
        </w:rPr>
        <w:t>а (2021 год - 84,6 процента), имеющих двух детей, - на 2,2 процентных пункта (2021 год - 77,5 процента). Вместе с тем сохраняются ограничения в получении услуг дошкольного образования, связанные с территориальной доступностью и графиком работы организаций.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rPr>
          <w:highlight w:val="yellow"/>
        </w:rPr>
        <w:t>Снижены ограничения по видам работ, на которых женщины могут осуществлять свою трудовую деятельность. Перечень производств, работ и должностей с вредными и (или) опасными условиями труда, на которых ограничивается применение труда женщин, сокращен в 4 раз</w:t>
      </w:r>
      <w:r>
        <w:rPr>
          <w:highlight w:val="yellow"/>
        </w:rPr>
        <w:t xml:space="preserve">а (с 456 до 100 позиций). При пересмотре перечня учитывались факторы, опасные для репродуктивного здоровья женщин, влияющие на здоровье будущего поколения и имеющие отдаленные последствия. Численность женщин, занятых на работах с вредными и (или) опасными </w:t>
      </w:r>
      <w:r>
        <w:rPr>
          <w:highlight w:val="yellow"/>
        </w:rPr>
        <w:t>условиями труда, в 2021 году составила 912,9 тыс. человек (на 15,7 процента меньше по сравнению с 2016 годом). Численность женщин, пострадавших при несчастных случаях на производстве с утратой трудоспособности на 1 рабочий день и более и со смертельным исх</w:t>
      </w:r>
      <w:r>
        <w:rPr>
          <w:highlight w:val="yellow"/>
        </w:rPr>
        <w:t>одом, в 2021 году составила 6,5 тыс. человек (на 19,7 процента меньше по сравнению с 2016 годом). Вместе с тем, несмотря на положительную динамику снижения численности женщин, пострадавших на производстве, не везде созданы безопасные условия труда.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Некотор</w:t>
      </w:r>
      <w:r>
        <w:t>ые улучшения отмечаются в области женского здоровья.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Ожидаемая продолжительность жизни женщин увеличилась более чем на год и достигла в 2019 году 78,2 года. Разрыв в продолжительности жизни городских и сельских женщин сократился с 1,3 года до 0,8 года в 20</w:t>
      </w:r>
      <w:r>
        <w:t xml:space="preserve">21 году. Материнская смертность снизилась с 10 случаев на 100 тыс. детей, родившихся живыми, в 2016 году и до 9 случаев в 2019 году. Тем не менее в связи с эпидемиологической ситуацией, связанной с распространением новой коронавирусной инфекции, ожидаемая </w:t>
      </w:r>
      <w:r>
        <w:t>продолжительность жизни женщин снизилась до 74,5 года в 2021 году, материнская смертность увеличилась до 34,5 случая на 100 тыс. детей, родившихся живыми.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 данным федеральной государственной информационной системы "Федеральный реестр инвалидов", за после</w:t>
      </w:r>
      <w:r>
        <w:t>дние 4 года численность женщин-инвалидов сократилась на 643,3 тыс. человек (2021 год - 5,9 млн. человек). По данным федерального статистического наблюдения, численность женщин, впервые признанных инвалидами, сократилась на 54,1 тыс. человек (2021 год - 254</w:t>
      </w:r>
      <w:r>
        <w:t>,4 тыс. человек).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На 33 процента снизилось число женщин, которым поставлен диагноз "бесплодие" (в 2020 году этот диагноз поставлен впервые 63 тыс. женщин), на 30 процентов снизился уровень распространенности данного заболевания (2020 год - 196 случаев на 1</w:t>
      </w:r>
      <w:r>
        <w:t>00 тыс. женщин в возрасте 18 - 49 лет).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 2020 году зарегистрировано 300 тыс. случаев онкологических заболеваний у женщин, из них 21,6 процента - раком молочной железы. Численность женщин с диагностированным раком молочной железы уменьшилась на 2,4 процент</w:t>
      </w:r>
      <w:r>
        <w:t>а (2020 год - 65 тыс. женщин, или 82,8 случая на 100 тыс. женщин).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Оказание медико-социальной помощи женщинам, доабортное консультирование беременных женщин, повышение уровня репродуктивной культуры населения способствует стабильному снижению абортов. В це</w:t>
      </w:r>
      <w:r>
        <w:t>лях увеличения материальной поддержки женщин в период беременности введена ежемесячная выплата женщинам, вставшим на учет в медицинских организациях в ранние сроки беременности (до 12 недель). С целью сохранения репродуктивного здоровья мужчин и женщин и п</w:t>
      </w:r>
      <w:r>
        <w:t xml:space="preserve">овышения репродуктивного потенциала нации с 2022 года реализуется пилотный проект "Репродуктивное здоровье". Абсолютное число абортов снизилось на 38,1 процента (2021 год - 517,7 тыс. абортов), число абортов на 1000 женщин в возрасте 15 - 49 лет снизилось </w:t>
      </w:r>
      <w:r>
        <w:t>на 37,5 процента (2021 год - 15 случаев).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На 1 января 2022 г. женщины в возрасте 65 лет и старше составили 66 процентов населения этого возраста. Они в большей степени, чем мужчины, вовлекаются в проекты, направленные на повышение качества жизни граждан по</w:t>
      </w:r>
      <w:r>
        <w:t>жилого возраста. Всеми субъектами Российской Федерации приняты региональные программы, направленные на повышение качества жизни пожилых людей, укрепление их здоровья, увеличение периода активного долголетия и продолжительности здоровой жизни. С 2018 года р</w:t>
      </w:r>
      <w:r>
        <w:t>еализуется пилотный проект по внедрению системы долговременного ухода. С 2021 года в регионах запущена программа по профилактике когнитивных расстройств у пожилых пациентов, направленная на ранее выявление болезней и своевременное оказание необходимой меди</w:t>
      </w:r>
      <w:r>
        <w:t>цинской помощи. С 2019 года активно формируется инфраструктура гериатрической службы - трехуровневая система медицинской помощи гражданам старшего поколения. За последние 5 лет количество геронтологических коек выросло почти в 4 раза (2021 год - 7,4 тыс. к</w:t>
      </w:r>
      <w:r>
        <w:t>оек), число гериатрических кабинетов увеличилось в 5,5 раза (2021 год - 1,3 тыс. кабинетов). В 74 субъектах Российской Федерации создано 75 гериатрических центров для осуществления координации и методической поддержки развития гериатрической службы в регио</w:t>
      </w:r>
      <w:r>
        <w:t>нах, а также осуществления медицинской деятельности.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Социальное неблагополучие женщин охватывает широкий спектр жизненных ситуаций, которые включают значительное снижение дохода, потерю работы, ухудшение здоровья, внутрисемейные и бытовые конфликты, насили</w:t>
      </w:r>
      <w:r>
        <w:t>е в отношении женщин.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Женщины составляют 49,4 процента безработных. За последние 5 лет на 0,8 процентных пункта (2021 год - 4,9 процента) снизился уровень безработицы среди женщин, в том числе проживающих в городах, - на 0,3 процентных пункта (2021 год - 4</w:t>
      </w:r>
      <w:r>
        <w:t>,3 процента), проживающих в сельской местности, - на 2,5 процентных пункта (2021 год - 7,1 процента). Численность безработных женщин сократилась на 1 процент (2021 год - 1,8 млн. женщин). Среднее время поиска работы безработными женщинами снизилось на 3 пр</w:t>
      </w:r>
      <w:r>
        <w:t>оцента (2021 год - 6,9 месяца). Вместе с тем уровень безработицы и время поиска работы у женщин по-прежнему выше, чем у мужчин. Среди безработных женщин на 1,5 процентных пункта выросла доля женщин с высшим образованием (2021 год - 26,4 процента числа безр</w:t>
      </w:r>
      <w:r>
        <w:t>аботных женщин).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Риск попадания в число бедных для женщин, в том числе для одиноких матерей с детьми, остается высоким.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 целях улучшения материального положения женщин, имеющих детей, существенно расширен перечень мер государственной поддержки, направленн</w:t>
      </w:r>
      <w:r>
        <w:t>ых на снижение риска возникновения бедности при рождении ребенка (ежемесячная денежная выплата на первого и второго ребенка до достижения ребенком возраста 3 лет, ежемесячные денежные выплаты на ребенка в возрасте от 3 до 17 лет, налоговые льготы, льготная</w:t>
      </w:r>
      <w:r>
        <w:t xml:space="preserve"> ипотека). С 1 января 2023 г. вводится ежемесячное пособие в связи с рождением и воспитанием ребенка с единым подходом к назначению и осуществлению ежемесячной выплаты на ребенка до достижения им возраста 17 лет включительно и беременным женщинам, которое </w:t>
      </w:r>
      <w:r>
        <w:t>объединит в себе ряд действующих мер социальной поддержки.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Наблюдается тенденция постепенного снижения количества преступлений против жизни и здоровья (2019 год - 102 тыс. преступлений, 2021 год - 98 тыс. преступлений). Почти в 2 раза уменьшилась доля поте</w:t>
      </w:r>
      <w:r>
        <w:t>рпевших (женщин) в результате преступлений против жизни и здоровья, совершенных в отношении члена семьи (2021 год - 12,6 тыс. женщин).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Женщинам, оказавшимся в трудной жизненной ситуации, пострадавшим от семейного, психофизического насилия, предоставляются </w:t>
      </w:r>
      <w:r>
        <w:t>социальные услуги в организациях социального обслуживания, в том числе в кризисных центрах для женщин. В систему социального обслуживания входят организации социального обслуживания, предназначенные для временного проживания. Подобную помощь оказывают такж</w:t>
      </w:r>
      <w:r>
        <w:t>е и некоммерческие организации.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 течение последних 5 лет на 7 процентов сократилось число женщин, совершивших преступления (2021 год - 137,7 тыс. женщин). Число женщин, осужденных по статьям, связанным с убийством человека, сократилось на 24 процента (202</w:t>
      </w:r>
      <w:r>
        <w:t>1 год - 6,5 тыс. женщин), по статье, связанной с умышленным причинением тяжкого вреда здоровью, - на 58 процентов (2021 год - 1,8 тыс. женщин).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С целью совершенствования и либерализации законодательства Российской Федерации в отношении женщин, в том числе </w:t>
      </w:r>
      <w:r>
        <w:t xml:space="preserve">женщин, имеющих детей, находящихся в местах лишения свободы за совершение нетяжких преступлений, внесены изменения в Уголовный </w:t>
      </w:r>
      <w:hyperlink r:id="rId14" w:tooltip="https://login.consultant.ru/link/?req=doc&amp;base=LAW&amp;n=442372&amp;date=06.04.2023" w:history="1">
        <w:r>
          <w:rPr>
            <w:color w:val="0000FF"/>
          </w:rPr>
          <w:t>кодекс</w:t>
        </w:r>
      </w:hyperlink>
      <w:r>
        <w:t xml:space="preserve"> Российской Федерации, направленные на улучшение положения осужденных беременных женщин и женщин, имеющих малолетних детей.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Достижению улучшения положения женщин за последние 5 лет способствовали мероприяти</w:t>
      </w:r>
      <w:r>
        <w:t xml:space="preserve">я, осуществляемые в рамках таких стратегических и концептуальных документов, национальных проектов и государственных программ в сфере экономики, образования, занятости, здравоохранения, социальной поддержки граждан, как </w:t>
      </w:r>
      <w:hyperlink r:id="rId15" w:tooltip="https://login.consultant.ru/link/?req=doc&amp;base=LAW&amp;n=165069&amp;date=06.04.2023&amp;dst=100014&amp;field=134" w:history="1">
        <w:r>
          <w:rPr>
            <w:color w:val="0000FF"/>
          </w:rPr>
          <w:t>Концепция</w:t>
        </w:r>
      </w:hyperlink>
      <w:r>
        <w:t xml:space="preserve"> демографической политики Российской Федерации на период до 2025 год</w:t>
      </w:r>
      <w:r>
        <w:t xml:space="preserve">а, утвержденная Указом Президента Российской Федерации от 9 октября 2007 г. N 1351, </w:t>
      </w:r>
      <w:hyperlink r:id="rId16" w:tooltip="https://login.consultant.ru/link/?req=doc&amp;base=LAW&amp;n=167897&amp;date=06.04.2023&amp;dst=100007&amp;field=134" w:history="1">
        <w:r>
          <w:rPr>
            <w:color w:val="0000FF"/>
          </w:rPr>
          <w:t>Концепция</w:t>
        </w:r>
      </w:hyperlink>
      <w:r>
        <w:t xml:space="preserve"> государственной семейной политики в Российской Федерации на период до 2025 года, утвержденная распоряжением Правительства Российской Федерации от 25 августа 2014 г. N 1618-р, </w:t>
      </w:r>
      <w:hyperlink r:id="rId17" w:tooltip="https://login.consultant.ru/link/?req=doc&amp;base=LAW&amp;n=193464&amp;date=06.04.2023&amp;dst=100006&amp;field=134" w:history="1">
        <w:r>
          <w:rPr>
            <w:color w:val="0000FF"/>
          </w:rPr>
          <w:t>Стратегия</w:t>
        </w:r>
      </w:hyperlink>
      <w:r>
        <w:t xml:space="preserve"> действий в интересах граждан старшего поколения в Российско</w:t>
      </w:r>
      <w:r>
        <w:t xml:space="preserve">й Федерации до 2025 года, утвержденная распоряжением Правительства Российской Федерации от 5 февраля 2016 г. N 164-р, Национальная </w:t>
      </w:r>
      <w:hyperlink r:id="rId18" w:tooltip="https://login.consultant.ru/link/?req=doc&amp;base=LAW&amp;n=213740&amp;date=06.04.2023&amp;dst=100009&amp;field=134" w:history="1">
        <w:r>
          <w:rPr>
            <w:color w:val="0000FF"/>
          </w:rPr>
          <w:t>стратегия</w:t>
        </w:r>
      </w:hyperlink>
      <w:r>
        <w:t xml:space="preserve"> действий в интересах женщин на 2017 - 2022 годы, утвержденная распоряжением Правительства Российской Федерации от 8 марта 2017 г. N 410-р, а также националь</w:t>
      </w:r>
      <w:r>
        <w:t xml:space="preserve">ные проекты </w:t>
      </w:r>
      <w:hyperlink r:id="rId19" w:tooltip="https://login.consultant.ru/link/?req=doc&amp;base=LAW&amp;n=319209&amp;date=06.04.2023" w:history="1">
        <w:r>
          <w:rPr>
            <w:color w:val="0000FF"/>
          </w:rPr>
          <w:t>"Здравоохранение"</w:t>
        </w:r>
      </w:hyperlink>
      <w:r>
        <w:t xml:space="preserve">, </w:t>
      </w:r>
      <w:hyperlink r:id="rId20" w:tooltip="https://login.consultant.ru/link/?req=doc&amp;base=LAW&amp;n=319308&amp;date=06.04.2023" w:history="1">
        <w:r>
          <w:rPr>
            <w:color w:val="0000FF"/>
          </w:rPr>
          <w:t>"Образование"</w:t>
        </w:r>
      </w:hyperlink>
      <w:r>
        <w:t xml:space="preserve">, </w:t>
      </w:r>
      <w:hyperlink r:id="rId21" w:tooltip="https://login.consultant.ru/link/?req=doc&amp;base=LAW&amp;n=384857&amp;date=06.04.2023" w:history="1">
        <w:r>
          <w:rPr>
            <w:color w:val="0000FF"/>
          </w:rPr>
          <w:t>"Демография"</w:t>
        </w:r>
      </w:hyperlink>
      <w:r>
        <w:t>, "</w:t>
      </w:r>
      <w:hyperlink r:id="rId22" w:tooltip="https://login.consultant.ru/link/?req=doc&amp;base=LAW&amp;n=382369&amp;date=06.04.2023" w:history="1">
        <w:r>
          <w:rPr>
            <w:color w:val="0000FF"/>
          </w:rPr>
          <w:t>Малое и среднее предпринимательство</w:t>
        </w:r>
      </w:hyperlink>
      <w:r>
        <w:t xml:space="preserve"> и поддержка индивидуальной предпринимательской инициативы".</w:t>
      </w:r>
    </w:p>
    <w:p w:rsidR="00536593" w:rsidRDefault="00536593">
      <w:pPr>
        <w:pStyle w:val="ConsPlusNormal"/>
        <w:ind w:firstLine="540"/>
        <w:jc w:val="both"/>
      </w:pPr>
    </w:p>
    <w:p w:rsidR="00536593" w:rsidRDefault="005132C2">
      <w:pPr>
        <w:pStyle w:val="ConsPlusTitle"/>
        <w:jc w:val="center"/>
        <w:outlineLvl w:val="1"/>
      </w:pPr>
      <w:r>
        <w:t>III. Цели, основные направления и задачи государственной</w:t>
      </w:r>
    </w:p>
    <w:p w:rsidR="00536593" w:rsidRDefault="005132C2">
      <w:pPr>
        <w:pStyle w:val="ConsPlusTitle"/>
        <w:jc w:val="center"/>
      </w:pPr>
      <w:r>
        <w:t>политики по обеспечению интересов женщин</w:t>
      </w:r>
    </w:p>
    <w:p w:rsidR="00536593" w:rsidRDefault="00536593">
      <w:pPr>
        <w:pStyle w:val="ConsPlusNormal"/>
        <w:ind w:firstLine="540"/>
        <w:jc w:val="both"/>
        <w:rPr>
          <w:rFonts w:ascii="Arial" w:eastAsia="Arial" w:hAnsi="Arial" w:cs="Arial"/>
        </w:rPr>
      </w:pPr>
    </w:p>
    <w:p w:rsidR="00536593" w:rsidRDefault="005132C2">
      <w:pPr>
        <w:pStyle w:val="ConsPlusNormal"/>
        <w:ind w:firstLine="540"/>
        <w:jc w:val="both"/>
      </w:pPr>
      <w:r>
        <w:t>Целями Стратегии являются обеспечение реализации принципа ра</w:t>
      </w:r>
      <w:r>
        <w:t>вных прав и свобод мужчин и женщин, создания равных возможностей для их реализации женщинами во всех сферах жизни и повышение экономической независимости, политической активности и возможностей самореализации женщин.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Достижение цели Стратегии осуществляетс</w:t>
      </w:r>
      <w:r>
        <w:t>я в рамках следующих основных направлений деятельности: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укрепление позиций женщин в общественно-политической жизни страны. Создание условий для развития их гражданской активности;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повышение роли женщин в развитии общества, улучшение качества их жизни;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участия женщин в приоритетных направлениях социально-экономического развития страны, включая формирование новых точек роста экономики;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сохранение здоровья женщин всех возрастов. Создание условий для повышения роли женщин в формировании здорового</w:t>
      </w:r>
      <w:r>
        <w:t xml:space="preserve"> общества;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профилактика социального неблагополучия женщин.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Реализация направления "Укрепление позиций женщин в общественно-политической жизни страны. Создание условий для развития их гражданской активности" предполагает решение следующих задач: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обеспечение</w:t>
      </w:r>
      <w:r>
        <w:t xml:space="preserve"> возможностей для увеличения представительства женщин в органах законодательной и исполнительной власти всех уровней и органах местного самоуправления;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участия женщин в работе политических партий, увеличение их численности в руководящих партийны</w:t>
      </w:r>
      <w:r>
        <w:t>х органах, формирование у женщин интереса к активной политической деятельности;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создание условий для участия женщин в развитии институтов гражданского общества - выдвижение женщин на лидерские позиции в вопросах государственной политики по поддержке некомм</w:t>
      </w:r>
      <w:r>
        <w:t>ерческого сектора, поощрение социальных инициатив, реализуемых в интересах женщин социально ответственным бизнесом;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включение женщин в сферу инициативного бюджетирования;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поддержка добровольческой (волонтерской) деятельности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интереса у жен</w:t>
      </w:r>
      <w:r>
        <w:t>щин к вопросам международной жизни путем вовлечения в международное гуманитарное сотрудничество, народную и детскую дипломатию, расширения представительства в международных организациях и объединениях;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увеличение образовательных и просветительских программ</w:t>
      </w:r>
      <w:r>
        <w:t xml:space="preserve"> женского лидерства, направленных на активизацию гражданской позиции;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популяризация образа женщины-лидера, успешно реализующей свои деловые качества, творческий потенциал в общественно-политической жизни.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Реализация направления "Повышение роли женщин в раз</w:t>
      </w:r>
      <w:r>
        <w:t>витии общества, улучшение качества их жизни" предполагает решение следующих задач: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создание условий для получения женщинами профессионального образования, повышения и подтверждения квалификации в области экономики, предоставляющих широкие возможности для т</w:t>
      </w:r>
      <w:r>
        <w:t>рудоустройства, в том числе на высокооплачиваемые рабочие места;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у девочек и женщин в образовательных организациях, в том числе в организациях профессионального образования, мотивации к овладению техническими и технологическими профессиями и с</w:t>
      </w:r>
      <w:r>
        <w:t>пециальностями, а также к работе по полученной профессии, специальности;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создание условий для выявления и развития талантов девочек 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формирование и распространение программ повышения цифровой и финансовой грамотности женщин и девочек, в том числе </w:t>
      </w:r>
      <w:r>
        <w:t>в области инвестиций;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системы непрерывного образования, повышения квалификации, обновления профессиональных знаний женщин на протяжении всей трудовой жизни;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сфер экономики с участием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преодоление профессиональной сегрегации и</w:t>
      </w:r>
      <w:r>
        <w:t xml:space="preserve"> расширение доступа женщин к руководящим должностям;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сокращение дифференциации в оплате труда мужчин 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создание условий для повышения конкурентоспособности женщин на рынке труда;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применение гибких форм занятости, в том числе дистанционной занятости</w:t>
      </w:r>
      <w:r>
        <w:t>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доступа женщин к финансовым инструментам, информационным и технологическим ресурсам;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поддержка женщин в сфере малого и среднего предпринимательства, в том числе социального предпринимательства;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реализация программ дополнительного профессионального образования женщин-предпринимателей, самозанятых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создание и реализация программ поощрения компаний, активно реализующих программы поддержки работающих женщин с детьми, карьерного продвижения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продвижение корпоративных программ социальной ответственности, направленных на создание равных возможносте</w:t>
      </w:r>
      <w:r>
        <w:t>й мужчин и женщин при найме на работу, включение женщин в кадровый резерв, назначение их на позиции принятия стратегических решений, а также на реализацию специальных программ по поддержке работающих родителей;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создание условий для сохранения традиционных </w:t>
      </w:r>
      <w:r>
        <w:t>семейных ценностей и достижения баланса между обязательствами в частной жизни и в деловой сфере в целях повышения качества жизни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инфраструктуры ухода и присмотра за детьми дошкольного и младшего школьного возраста, а также за членами семьи</w:t>
      </w:r>
      <w:r>
        <w:t>, полностью или частично лишенными способности к самообслуживанию;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модели "Школа полного дня" на основе интеграции урочной и внеурочной деятельности обучающихся, дополнительных образовательных программ, включая пребывание в группах продленного дня</w:t>
      </w:r>
      <w:r>
        <w:t>, и ее внедрение в деятельность общеобразовательных организаций;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системы государственной поддержки семьи в связи с рождением и воспитанием детей;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создание и распространение семейных образовательных программ и мероприятий, направленных на развитие </w:t>
      </w:r>
      <w:r>
        <w:t>семейных ценностей и навыков межпоколенческой коммуникации;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участия женщин в национальных и международных проектах в области экологии, социальной политики и корпоративного управления.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Реализация направления "Расширение участия женщин в приоритет</w:t>
      </w:r>
      <w:r>
        <w:t>ных направлениях социально-экономического развития страны, включая формирование новых точек роста экономики" предполагает решение следующих задач: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интеграция женщин в цифровую экономику;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участия женщин в высокотехнологичных отраслях;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</w:t>
      </w:r>
      <w:r>
        <w:t>е инновационных моделей образования для молодежи в современной образовательной среде;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естественных и математических наук, привлечение женщин к приобретению технических знаний и навыков, необходимых в цифровой экономике;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популяризация технических и</w:t>
      </w:r>
      <w:r>
        <w:t xml:space="preserve"> технологических профессий и специальностей и повышение интереса к точным наукам среди девочек 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продвижение женщин-ученых;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интеграция женщин в перспективные направления креативных индустрий - информационные технологии, медиа и иные высокотехнологи</w:t>
      </w:r>
      <w:r>
        <w:t>чные сферы творческого предпринимательства;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популяризация женского технологического предпринимательства;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поддержка проектов женщин по развитию "зеленой ресурсосберегающей экономики";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поддержка проектов женщин по развитию биотехнологий и других высокотехнол</w:t>
      </w:r>
      <w:r>
        <w:t>огичных здоровьесберегающих ресурсов;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продвижение женских предпринимательских, производственных инициатив и научных обменов на международном уровне;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международной кооперации женщин, расширение участия женщин-предпринимателей в экспортной деятельно</w:t>
      </w:r>
      <w:r>
        <w:t>сти и обеспечение их доступа к международным рынкам сбыта.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Реализация направления "Сохранение здоровья женщин всех возрастов. Создание условий для повышения роли женщин в формировании здорового общества" предполагает решение следующих задач: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у</w:t>
      </w:r>
      <w:r>
        <w:t xml:space="preserve"> женщин с раннего детства ценности здоровья и ответственного отношения к своему здоровью, поддержка данной ценности на всех этапах жизни женщины;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у женщин и девочек приверженности к ведению здорового образа жизни посредством разработки и реали</w:t>
      </w:r>
      <w:r>
        <w:t>зации программ, направленных на создание условий для ведения здорового образа жизни, повышение уровня грамотности женщин и девочек в вопросах здоровья, в том числе в рамках дошкольного, начального общего, основного общего, среднего профессионального и высш</w:t>
      </w:r>
      <w:r>
        <w:t>его образования и на рабочих местах, а также посредством формирования мотивации для ведения здорового образа жизни;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обеспечение доступа женщин к полной, достоверной и понятной информации о профилактике заболеваний и ведению здорового образа жизни;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стимулир</w:t>
      </w:r>
      <w:r>
        <w:t>ование и поддержка участия женщин со средним и высшим медицинским образованием в формировании здорового образа жизни;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приоритизация программ профилактики и раннего выявления хронических неинфекционных и инфекционных заболеваний среди женщин и девочек, разв</w:t>
      </w:r>
      <w:r>
        <w:t>итие и совершенствование программ профилактических осмотров, диспансеризации и диспансерного наблюдения женщин и девочек, программ, направленных на снижение рисков для здоровья женщин и девочек;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профилактика нарушений репродуктивного здоровья и развитие си</w:t>
      </w:r>
      <w:r>
        <w:t>стемы охраны репродуктивного здоровья;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повышение доступности первичной медико-санитарной, специализированной, в том числе высокотехнологичной, медицинской помощи, включая охрану репродуктивного здоровья, независимо от места проживания;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обеспечение медико-социальной поддержки беременных женщин, находящихся в трудной жизненной ситуации, оказание помощи женщинам в ситуации репродуктивного выбора, включая социальное сопровождение, предоставление социально-медицинских, социально-психологическ</w:t>
      </w:r>
      <w:r>
        <w:t>их, социально-правовых, социально-бытовых и иных социальных услуг;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поддержка инноваций в фармакологии и биотехнологиях, направленных на повышение длительности здоровой жизни, в том числе международный обмен опытом в области технологий активного долголетия </w:t>
      </w:r>
      <w:r>
        <w:t>с учетом особенностей здоровья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внедрение программ, направленных на предупреждение у женщин преждевременного старения, гериатрических синдромов;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развитие программ активного долголетия, направленных в том числе на укрепление практик здорового образа </w:t>
      </w:r>
      <w:r>
        <w:t>жизни среди женщин старшего поколения и создание соответствующей инфраструктуры и комфортной среды проживания;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системы долговременного ухода и совершенствование программ оказания женщинам гериатрической помощи;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интеграция женщин старшего покол</w:t>
      </w:r>
      <w:r>
        <w:t>ения в жизнь общества;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стимулирование разработки и производства специализированных диетических продуктов питания, инновационных товаров для женщин, включая медицинские изделия, учитывающие специфику женщин старшего возраста.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Реализация направления "Профила</w:t>
      </w:r>
      <w:r>
        <w:t>ктика социального неблагополучия женщин" предполагает решение следующих задач: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системы профилактики социального неблагополучия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расширение механизмов поддержки женщин, оказавшихся в ситуации социального неблагополучия, и выхода из нее;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сове</w:t>
      </w:r>
      <w:r>
        <w:t>ршенствование мер поддержки женщин в преодолении бытовых, экономических и психологических трудностей;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оказание содействия организациям, предоставляющим женщинам, оказавшихся в трудной жизненной ситуации, психологическую, социальную и иную поддержку;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</w:t>
      </w:r>
      <w:r>
        <w:t>ие сети центров социальной адаптации для проживания женщин, в том числе старшего возраста, подвергнувшимся домашнему насилию, и организации медико-социальной и психологической реабилитации пострадавших;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методическое обеспечение работы организаций социально</w:t>
      </w:r>
      <w:r>
        <w:t>го обслуживания по реабилитации женщин, в том числе старшего возраста, подвергшихся жестокому обращению;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противодействие жестокому обращению с женщинами разных возрастов, формирование общественного мнения о недопустимости жестокого обращения с женщинами пу</w:t>
      </w:r>
      <w:r>
        <w:t>тем проведения информационных кампаний и расширения каналов эффективных коммуникаций;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профилактика преступлений против жизни и здоровья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информирование женщин о способах защиты от наиболее распространенных правонарушений, совершаемых в отношении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совершенствование и развитие образовательной и профессионально ориентированной работы среди женщин, находящихся в местах лишения свободы, с</w:t>
      </w:r>
      <w:r>
        <w:t xml:space="preserve"> целью обучения женщин профессиям, востребованным на рынке труда;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механизмов межведомственного взаимодействия на федеральном, региональном и муниципальном уровнях в целях профилактики социального неблагополучия и насилия в отношении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</w:t>
      </w:r>
      <w:r>
        <w:t>ие взаимодействия органов государственной власти и социально ориентированных некоммерческих организаций в целях профилактики социального неблагополучия и насилия в отношении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совершенствование законодательства Российской Федерации в сфере профилакти</w:t>
      </w:r>
      <w:r>
        <w:t>ки насилия в отношении женщин, включая насилие в семье, преследование, сексуальные домогательства на работе, сексуализированное насилие;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развитие системы мониторинга проблемы насилия в отношении женщин, включая улучшение качества сбора статистических данны</w:t>
      </w:r>
      <w:r>
        <w:t>х и их анализа.</w:t>
      </w:r>
    </w:p>
    <w:p w:rsidR="00536593" w:rsidRDefault="00536593">
      <w:pPr>
        <w:pStyle w:val="ConsPlusNormal"/>
        <w:jc w:val="center"/>
      </w:pPr>
    </w:p>
    <w:p w:rsidR="00536593" w:rsidRDefault="005132C2">
      <w:pPr>
        <w:pStyle w:val="ConsPlusTitle"/>
        <w:jc w:val="center"/>
        <w:outlineLvl w:val="1"/>
        <w:rPr>
          <w:highlight w:val="yellow"/>
        </w:rPr>
      </w:pPr>
      <w:r>
        <w:rPr>
          <w:highlight w:val="yellow"/>
        </w:rPr>
        <w:t>IV. Мониторинг реализации государственной политики</w:t>
      </w:r>
    </w:p>
    <w:p w:rsidR="00536593" w:rsidRDefault="005132C2">
      <w:pPr>
        <w:pStyle w:val="ConsPlusTitle"/>
        <w:jc w:val="center"/>
      </w:pPr>
      <w:r>
        <w:rPr>
          <w:highlight w:val="yellow"/>
        </w:rPr>
        <w:t>в интересах женщин</w:t>
      </w:r>
    </w:p>
    <w:p w:rsidR="00536593" w:rsidRDefault="00536593">
      <w:pPr>
        <w:pStyle w:val="ConsPlusNormal"/>
        <w:ind w:firstLine="540"/>
        <w:jc w:val="both"/>
        <w:rPr>
          <w:rFonts w:ascii="Arial" w:eastAsia="Arial" w:hAnsi="Arial" w:cs="Arial"/>
        </w:rPr>
      </w:pPr>
    </w:p>
    <w:p w:rsidR="00536593" w:rsidRDefault="005132C2">
      <w:pPr>
        <w:pStyle w:val="ConsPlusNormal"/>
        <w:ind w:firstLine="540"/>
        <w:jc w:val="both"/>
      </w:pPr>
      <w:r>
        <w:rPr>
          <w:highlight w:val="yellow"/>
        </w:rPr>
        <w:t>Оценка государственной политики в интересах женщин осуществляется по следующим показателям: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ожидаемая продолжительность жизни, в том числе по полу;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среди лиц, имеющих высшее и среднее профессиональное образование (по областям образования), в общей численности населения, имеющего высшее и среднее профессиональное образование (по областям образования);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среди кандидатов и докторов</w:t>
      </w:r>
      <w:r>
        <w:t xml:space="preserve"> наук по областям науки в общей численности кандидатов и докторов наук по областям науки;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среди руководителей организаций различных форм собственности в общей численности руководителей организаций различных форм собственности;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в зак</w:t>
      </w:r>
      <w:r>
        <w:t>онодательных и исполнительных органах государственной власти и органах местного самоуправления в общей численности сотрудников законодательных и исполнительных органах государственной власти и органах местного самоуправления;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среди лиц, замещаю</w:t>
      </w:r>
      <w:r>
        <w:t>щих должности государственной гражданской службы и муниципальной службы категории "руководители", в общей численности лиц, замещающих должности государственной гражданской службы и муниципальной службы категории "руководители";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в руководящих ор</w:t>
      </w:r>
      <w:r>
        <w:t>ганах парламентских политических партий в общей численности сотрудников руководящих органов парламентских политических партий;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доля социально ориентированных некоммерческих организаций, возглавляемых женщинами, в общем количестве социально ориентированных </w:t>
      </w:r>
      <w:r>
        <w:t>некоммерческих организаций;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число женщин, вовлеченных в добровольческую (волонтерскую) деятельность;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соотношение заработной платы мужчин 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уровень безработицы, в том числе по полу;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среднее время поиска работы безработными, в том числе по полу;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</w:t>
      </w:r>
      <w:r>
        <w:t xml:space="preserve"> женщин трудоспособного возраста, проживающих в домашних хозяйствах с доходами ниже границы бедности, в общей численности населения, проживающего в домашних хозяйствах с доходами ниже границы бедности;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доля женщин старше трудоспособного возраста, проживающ</w:t>
      </w:r>
      <w:r>
        <w:t>их в домашних хозяйствах с доходами ниже границы бедности, в общей численности населения, проживающего в домашних хозяйствах с доходами ниже границы бедности;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уровень занятости женщин, имеющих одного ребенка, 2 детей, 3 и более детей;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уровень занятости жен</w:t>
      </w:r>
      <w:r>
        <w:t>щин, имеющих детей в возрасте до 6 лет и до 18 лет;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rPr>
          <w:highlight w:val="yellow"/>
        </w:rPr>
        <w:t>численность женщин, занятых на рабочих местах с вредными и (или) опасными условиями труда;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rPr>
          <w:highlight w:val="yellow"/>
        </w:rPr>
        <w:t>численность женщин, пострадавших при несчастных случаях на производстве с утратой трудоспособности на 1 рабочий д</w:t>
      </w:r>
      <w:r>
        <w:rPr>
          <w:highlight w:val="yellow"/>
        </w:rPr>
        <w:t>ень и более и со смертельным исходом;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численность инвалидов, в том числе по полу;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коэффициент материнской смертности;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коэффициент младенческой смертности;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выявляемость злокачественных новообразований у женщин на I - II стадии;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 xml:space="preserve">число абортов на 1000 женщин </w:t>
      </w:r>
      <w:r>
        <w:t>в возрасте 15 - 49 лет;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количество преступлений против жизни и здоровья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число потерпевших (женщин) в результате преступлений против жизни и здоровья;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число женщин, получивших услуги в организациях социального обслуживания, в том числе подвергшихся преступным посягательствам;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количество организаций социального обслуживания, в том числе кризисных центров (отделений), оказывающих помощь женщинам, оказавшим</w:t>
      </w:r>
      <w:r>
        <w:t>ся в трудной жизненной ситуации, пострадавшим от семейного, психофизического насилия;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число выявленных женщин, совершивших преступления;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число женщин, осужденных за совершенные преступления.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Перечень индикаторов государственной политики по улучшению положе</w:t>
      </w:r>
      <w:r>
        <w:t>ния женщин может уточняться по результатам мониторинга реализации Стратегии.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Ожидаемыми результатами реализации Стратегии являются: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повышение ожидаемой продолжительности жизни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снижение материнской смертности;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снижение дифференциации заработной плат</w:t>
      </w:r>
      <w:r>
        <w:t>ы мужчин 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увеличение доли женщин среди руководителей всех уровней в учреждениях производственной сферы, бизнеса и в государственном секторе;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снижение количества преступлений, совершенных против жизни и здоровья женщин.</w:t>
      </w:r>
    </w:p>
    <w:p w:rsidR="00536593" w:rsidRDefault="00536593">
      <w:pPr>
        <w:pStyle w:val="ConsPlusNormal"/>
        <w:jc w:val="center"/>
      </w:pPr>
    </w:p>
    <w:p w:rsidR="00536593" w:rsidRDefault="005132C2">
      <w:pPr>
        <w:pStyle w:val="ConsPlusTitle"/>
        <w:jc w:val="center"/>
        <w:outlineLvl w:val="1"/>
      </w:pPr>
      <w:r>
        <w:t>V. Этапы и основные механиз</w:t>
      </w:r>
      <w:r>
        <w:t>мы реализации Стратегии</w:t>
      </w:r>
    </w:p>
    <w:p w:rsidR="00536593" w:rsidRDefault="00536593">
      <w:pPr>
        <w:pStyle w:val="ConsPlusNormal"/>
        <w:ind w:firstLine="540"/>
        <w:jc w:val="both"/>
        <w:rPr>
          <w:rFonts w:ascii="Arial" w:eastAsia="Arial" w:hAnsi="Arial" w:cs="Arial"/>
        </w:rPr>
      </w:pPr>
    </w:p>
    <w:p w:rsidR="00536593" w:rsidRDefault="005132C2">
      <w:pPr>
        <w:pStyle w:val="ConsPlusNormal"/>
        <w:ind w:firstLine="540"/>
        <w:jc w:val="both"/>
      </w:pPr>
      <w:r>
        <w:t>Реализация Стратегии будет осуществляться в 2 этапа:</w:t>
      </w:r>
    </w:p>
    <w:p w:rsidR="00536593" w:rsidRDefault="005132C2">
      <w:pPr>
        <w:pStyle w:val="ConsPlusNormal"/>
        <w:spacing w:before="240"/>
        <w:ind w:firstLine="540"/>
        <w:jc w:val="both"/>
      </w:pPr>
      <w:bookmarkStart w:id="2" w:name="Par200"/>
      <w:bookmarkEnd w:id="2"/>
      <w:r>
        <w:t>На I этапе (2023 - 2026 годы) планируется обеспечить: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планов мероприятий по реализации этапов Стратегии;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работу по совершенствованию законодательства Российской Феде</w:t>
      </w:r>
      <w:r>
        <w:t>рации с учетом общепризнанных норм международного права, направленных на достижение фактического равноправия мужчин и женщин;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решение задач Стратегии в рамках национальных и федеральных проектов, государственных программ и документов стратегического планир</w:t>
      </w:r>
      <w:r>
        <w:t>ования на уровне субъектов Российской Федерации и на уровне муниципальных образований;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координацию и взаимодействие Координационного совета при Правительстве Российской Федерации по реализации Стратегии с федеральными органами государственной власти, орган</w:t>
      </w:r>
      <w:r>
        <w:t>ами государственной власти субъектов Российской Федерации, органами местного самоуправления, деловым сообществом, некоммерческими организациями, научными и другими организациями при рассмотрении вопросов, связанных с реализацией Стратегии;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организацию деят</w:t>
      </w:r>
      <w:r>
        <w:t>ельности региональных советов по реализации Стратегии;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формирование органами государственной власти субъектов Российской Федерации региональных планов, направленных на улучшение положения женщин, с учетом особенностей региона;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привлечение институтов гражда</w:t>
      </w:r>
      <w:r>
        <w:t>нского общества, включая деловое сообщество, и некоммерческих организаций.</w:t>
      </w:r>
    </w:p>
    <w:p w:rsidR="00536593" w:rsidRDefault="005132C2">
      <w:pPr>
        <w:pStyle w:val="ConsPlusNormal"/>
        <w:spacing w:before="240"/>
        <w:ind w:firstLine="540"/>
        <w:jc w:val="both"/>
      </w:pPr>
      <w:r>
        <w:t>На II этапе (2027 - 2030 годы) в результате реализации Стратегии должна быть сформирована система мер, направленная на обеспечение реализации принципа равных прав и свобод мужчины и</w:t>
      </w:r>
      <w:r>
        <w:t xml:space="preserve"> женщины и создания равных возможностей для их реализации женщинами во всех сферах жизни, на повышение экономической независимости, политической активности, расширение возможностей самореализации женщин, а также на преодоление стереотипных представлений о </w:t>
      </w:r>
      <w:r>
        <w:t>социальных ролях мужчины и женщины.</w:t>
      </w:r>
    </w:p>
    <w:p w:rsidR="00536593" w:rsidRDefault="00536593">
      <w:pPr>
        <w:pStyle w:val="ConsPlusNormal"/>
        <w:ind w:firstLine="540"/>
        <w:jc w:val="both"/>
      </w:pPr>
    </w:p>
    <w:p w:rsidR="00536593" w:rsidRDefault="00536593">
      <w:pPr>
        <w:pStyle w:val="ConsPlusNormal"/>
        <w:ind w:firstLine="540"/>
        <w:jc w:val="both"/>
      </w:pPr>
    </w:p>
    <w:p w:rsidR="00536593" w:rsidRDefault="0053659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536593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93" w:rsidRDefault="005132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0">
    <w:p w:rsidR="00536593" w:rsidRDefault="005132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3" w:rsidRDefault="00536593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536593">
      <w:trPr>
        <w:trHeight w:hRule="exact" w:val="1663"/>
      </w:trPr>
      <w:tc>
        <w:tcPr>
          <w:tcW w:w="3394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:rsidR="00536593" w:rsidRDefault="005132C2">
          <w:pPr>
            <w:pStyle w:val="ConsPlusNormal"/>
            <w:rPr>
              <w:rFonts w:ascii="Tahoma" w:eastAsia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eastAsia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eastAsia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98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:rsidR="00536593" w:rsidRDefault="005132C2">
          <w:pPr>
            <w:pStyle w:val="ConsPlusNormal"/>
            <w:jc w:val="center"/>
            <w:rPr>
              <w:rFonts w:ascii="Tahoma" w:eastAsia="Tahoma" w:hAnsi="Tahoma" w:cs="Tahoma"/>
              <w:b/>
              <w:bCs/>
              <w:sz w:val="20"/>
              <w:szCs w:val="20"/>
            </w:rPr>
          </w:pPr>
          <w:hyperlink r:id="rId1" w:tooltip="https://www.consultant.ru" w:history="1">
            <w:r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3395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:rsidR="00536593" w:rsidRDefault="005132C2">
          <w:pPr>
            <w:pStyle w:val="ConsPlusNormal"/>
            <w:jc w:val="right"/>
            <w:rPr>
              <w:rFonts w:ascii="Tahoma" w:eastAsia="Tahoma" w:hAnsi="Tahoma" w:cs="Tahoma"/>
              <w:sz w:val="20"/>
              <w:szCs w:val="20"/>
            </w:rPr>
          </w:pPr>
          <w:r>
            <w:rPr>
              <w:rFonts w:ascii="Tahoma" w:eastAsia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eastAsia="Tahoma" w:hAnsi="Tahoma" w:cs="Tahoma"/>
              <w:sz w:val="20"/>
              <w:szCs w:val="20"/>
            </w:rPr>
            <w:fldChar w:fldCharType="begin"/>
          </w:r>
          <w:r>
            <w:rPr>
              <w:rFonts w:ascii="Tahoma" w:eastAsia="Tahoma" w:hAnsi="Tahoma" w:cs="Tahoma"/>
              <w:sz w:val="20"/>
              <w:szCs w:val="20"/>
            </w:rPr>
            <w:instrText>\PAGE</w:instrText>
          </w:r>
          <w:r>
            <w:fldChar w:fldCharType="separate"/>
          </w:r>
          <w:r>
            <w:rPr>
              <w:rFonts w:ascii="Tahoma" w:eastAsia="Tahoma" w:hAnsi="Tahoma" w:cs="Tahoma"/>
              <w:noProof/>
              <w:sz w:val="20"/>
              <w:szCs w:val="20"/>
            </w:rPr>
            <w:t>2</w:t>
          </w:r>
          <w:r>
            <w:fldChar w:fldCharType="end"/>
          </w:r>
          <w:r>
            <w:rPr>
              <w:rFonts w:ascii="Tahoma" w:eastAsia="Tahoma" w:hAnsi="Tahoma" w:cs="Tahoma"/>
              <w:sz w:val="20"/>
              <w:szCs w:val="20"/>
            </w:rPr>
            <w:t xml:space="preserve"> из </w:t>
          </w:r>
          <w:r>
            <w:rPr>
              <w:rFonts w:ascii="Tahoma" w:eastAsia="Tahoma" w:hAnsi="Tahoma" w:cs="Tahoma"/>
              <w:sz w:val="20"/>
              <w:szCs w:val="20"/>
            </w:rPr>
            <w:fldChar w:fldCharType="begin"/>
          </w:r>
          <w:r>
            <w:rPr>
              <w:rFonts w:ascii="Tahoma" w:eastAsia="Tahoma" w:hAnsi="Tahoma" w:cs="Tahoma"/>
              <w:sz w:val="20"/>
              <w:szCs w:val="20"/>
            </w:rPr>
            <w:instrText>\NUMPAGES</w:instrText>
          </w:r>
          <w:r>
            <w:fldChar w:fldCharType="separate"/>
          </w:r>
          <w:r>
            <w:rPr>
              <w:rFonts w:ascii="Tahoma" w:eastAsia="Tahoma" w:hAnsi="Tahoma" w:cs="Tahoma"/>
              <w:noProof/>
              <w:sz w:val="20"/>
              <w:szCs w:val="20"/>
            </w:rPr>
            <w:t>4</w:t>
          </w:r>
          <w:r>
            <w:fldChar w:fldCharType="end"/>
          </w:r>
        </w:p>
      </w:tc>
    </w:tr>
  </w:tbl>
  <w:p w:rsidR="00536593" w:rsidRDefault="00536593">
    <w:pPr>
      <w:pStyle w:val="ConsPlusNormal"/>
      <w:rPr>
        <w:rFonts w:ascii="Tahoma" w:eastAsia="Tahoma" w:hAnsi="Tahoma" w:cs="Tahom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93" w:rsidRDefault="005132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0">
    <w:p w:rsidR="00536593" w:rsidRDefault="005132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36593">
      <w:trPr>
        <w:trHeight w:hRule="exact" w:val="1683"/>
      </w:trPr>
      <w:tc>
        <w:tcPr>
          <w:tcW w:w="5555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:rsidR="00536593" w:rsidRDefault="005132C2">
          <w:pPr>
            <w:pStyle w:val="ConsPlusNormal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>Распоряжение Правительства РФ от 29.12.2022 N 4356-р</w:t>
          </w:r>
          <w:r>
            <w:rPr>
              <w:rFonts w:ascii="Tahoma" w:eastAsia="Tahoma" w:hAnsi="Tahoma" w:cs="Tahoma"/>
              <w:sz w:val="16"/>
              <w:szCs w:val="16"/>
            </w:rPr>
            <w:br/>
            <w:t>&lt;Об утверждении Национальной стратегии действий в интересах женщин ...</w:t>
          </w:r>
        </w:p>
      </w:tc>
      <w:tc>
        <w:tcPr>
          <w:tcW w:w="4732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:rsidR="00536593" w:rsidRDefault="005132C2">
          <w:pPr>
            <w:pStyle w:val="ConsPlusNormal"/>
            <w:jc w:val="right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https://www.consultant.ru" w:history="1">
            <w:r>
              <w:rPr>
                <w:rFonts w:ascii="Tahoma" w:eastAsia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eastAsia="Tahoma" w:hAnsi="Tahoma" w:cs="Tahoma"/>
              <w:sz w:val="18"/>
              <w:szCs w:val="18"/>
            </w:rPr>
            <w:br/>
          </w:r>
          <w:r>
            <w:rPr>
              <w:rFonts w:ascii="Tahoma" w:eastAsia="Tahoma" w:hAnsi="Tahoma" w:cs="Tahoma"/>
              <w:sz w:val="16"/>
              <w:szCs w:val="16"/>
            </w:rPr>
            <w:t>Дата сохранения: 06.04.2023</w:t>
          </w:r>
        </w:p>
      </w:tc>
    </w:tr>
  </w:tbl>
  <w:p w:rsidR="00536593" w:rsidRDefault="00536593">
    <w:pPr>
      <w:pStyle w:val="ConsPlusNormal"/>
      <w:pBdr>
        <w:bottom w:val="single" w:sz="12" w:space="0" w:color="000000"/>
      </w:pBdr>
      <w:jc w:val="center"/>
      <w:rPr>
        <w:rFonts w:ascii="Tahoma" w:eastAsia="Tahoma" w:hAnsi="Tahoma" w:cs="Tahoma"/>
        <w:sz w:val="2"/>
        <w:szCs w:val="2"/>
      </w:rPr>
    </w:pPr>
  </w:p>
  <w:p w:rsidR="00536593" w:rsidRDefault="005132C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93"/>
    <w:rsid w:val="005132C2"/>
    <w:rsid w:val="00536593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szCs w:val="22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sz w:val="24"/>
      <w:szCs w:val="24"/>
      <w:lang w:bidi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ConsPlusTitle">
    <w:name w:val="ConsPlusTitle"/>
    <w:pPr>
      <w:spacing w:after="0" w:line="240" w:lineRule="auto"/>
    </w:pPr>
    <w:rPr>
      <w:rFonts w:ascii="Arial" w:eastAsia="Arial" w:hAnsi="Arial" w:cs="Arial"/>
      <w:b/>
      <w:bCs/>
      <w:sz w:val="24"/>
      <w:szCs w:val="24"/>
      <w:lang w:bidi="ru-RU"/>
    </w:rPr>
  </w:style>
  <w:style w:type="paragraph" w:customStyle="1" w:styleId="ConsPlusCell">
    <w:name w:val="ConsPlusCell"/>
    <w:pPr>
      <w:spacing w:after="0" w:line="240" w:lineRule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ConsPlusDocList">
    <w:name w:val="ConsPlusDocList"/>
    <w:pPr>
      <w:spacing w:after="0" w:line="240" w:lineRule="auto"/>
    </w:pPr>
    <w:rPr>
      <w:rFonts w:ascii="Tahoma" w:eastAsia="Tahoma" w:hAnsi="Tahoma" w:cs="Tahoma"/>
      <w:sz w:val="18"/>
      <w:szCs w:val="18"/>
      <w:lang w:bidi="ru-RU"/>
    </w:rPr>
  </w:style>
  <w:style w:type="paragraph" w:customStyle="1" w:styleId="ConsPlusTitlePage">
    <w:name w:val="ConsPlusTitlePage"/>
    <w:pPr>
      <w:spacing w:after="0" w:line="240" w:lineRule="auto"/>
    </w:pPr>
    <w:rPr>
      <w:rFonts w:ascii="Tahoma" w:eastAsia="Tahoma" w:hAnsi="Tahoma" w:cs="Tahoma"/>
      <w:sz w:val="24"/>
      <w:szCs w:val="24"/>
      <w:lang w:bidi="ru-RU"/>
    </w:rPr>
  </w:style>
  <w:style w:type="paragraph" w:customStyle="1" w:styleId="ConsPlusJurTerm">
    <w:name w:val="ConsPlusJurTerm"/>
    <w:pPr>
      <w:spacing w:after="0" w:line="240" w:lineRule="auto"/>
    </w:pPr>
    <w:rPr>
      <w:sz w:val="24"/>
      <w:szCs w:val="24"/>
      <w:lang w:bidi="ru-RU"/>
    </w:rPr>
  </w:style>
  <w:style w:type="paragraph" w:customStyle="1" w:styleId="ConsPlusTextList">
    <w:name w:val="ConsPlusTextList"/>
    <w:pPr>
      <w:spacing w:after="0" w:line="240" w:lineRule="auto"/>
    </w:pPr>
    <w:rPr>
      <w:sz w:val="24"/>
      <w:szCs w:val="24"/>
      <w:lang w:bidi="ru-RU"/>
    </w:rPr>
  </w:style>
  <w:style w:type="paragraph" w:customStyle="1" w:styleId="ConsPlusTextList1">
    <w:name w:val="ConsPlusTextList1"/>
    <w:pPr>
      <w:spacing w:after="0" w:line="240" w:lineRule="auto"/>
    </w:pPr>
    <w:rPr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szCs w:val="22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sz w:val="24"/>
      <w:szCs w:val="24"/>
      <w:lang w:bidi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ConsPlusTitle">
    <w:name w:val="ConsPlusTitle"/>
    <w:pPr>
      <w:spacing w:after="0" w:line="240" w:lineRule="auto"/>
    </w:pPr>
    <w:rPr>
      <w:rFonts w:ascii="Arial" w:eastAsia="Arial" w:hAnsi="Arial" w:cs="Arial"/>
      <w:b/>
      <w:bCs/>
      <w:sz w:val="24"/>
      <w:szCs w:val="24"/>
      <w:lang w:bidi="ru-RU"/>
    </w:rPr>
  </w:style>
  <w:style w:type="paragraph" w:customStyle="1" w:styleId="ConsPlusCell">
    <w:name w:val="ConsPlusCell"/>
    <w:pPr>
      <w:spacing w:after="0" w:line="240" w:lineRule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ConsPlusDocList">
    <w:name w:val="ConsPlusDocList"/>
    <w:pPr>
      <w:spacing w:after="0" w:line="240" w:lineRule="auto"/>
    </w:pPr>
    <w:rPr>
      <w:rFonts w:ascii="Tahoma" w:eastAsia="Tahoma" w:hAnsi="Tahoma" w:cs="Tahoma"/>
      <w:sz w:val="18"/>
      <w:szCs w:val="18"/>
      <w:lang w:bidi="ru-RU"/>
    </w:rPr>
  </w:style>
  <w:style w:type="paragraph" w:customStyle="1" w:styleId="ConsPlusTitlePage">
    <w:name w:val="ConsPlusTitlePage"/>
    <w:pPr>
      <w:spacing w:after="0" w:line="240" w:lineRule="auto"/>
    </w:pPr>
    <w:rPr>
      <w:rFonts w:ascii="Tahoma" w:eastAsia="Tahoma" w:hAnsi="Tahoma" w:cs="Tahoma"/>
      <w:sz w:val="24"/>
      <w:szCs w:val="24"/>
      <w:lang w:bidi="ru-RU"/>
    </w:rPr>
  </w:style>
  <w:style w:type="paragraph" w:customStyle="1" w:styleId="ConsPlusJurTerm">
    <w:name w:val="ConsPlusJurTerm"/>
    <w:pPr>
      <w:spacing w:after="0" w:line="240" w:lineRule="auto"/>
    </w:pPr>
    <w:rPr>
      <w:sz w:val="24"/>
      <w:szCs w:val="24"/>
      <w:lang w:bidi="ru-RU"/>
    </w:rPr>
  </w:style>
  <w:style w:type="paragraph" w:customStyle="1" w:styleId="ConsPlusTextList">
    <w:name w:val="ConsPlusTextList"/>
    <w:pPr>
      <w:spacing w:after="0" w:line="240" w:lineRule="auto"/>
    </w:pPr>
    <w:rPr>
      <w:sz w:val="24"/>
      <w:szCs w:val="24"/>
      <w:lang w:bidi="ru-RU"/>
    </w:rPr>
  </w:style>
  <w:style w:type="paragraph" w:customStyle="1" w:styleId="ConsPlusTextList1">
    <w:name w:val="ConsPlusTextList1"/>
    <w:pPr>
      <w:spacing w:after="0" w:line="240" w:lineRule="auto"/>
    </w:pPr>
    <w:rPr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5069&amp;date=06.04.2023&amp;dst=100061&amp;field=134" TargetMode="External"/><Relationship Id="rId13" Type="http://schemas.openxmlformats.org/officeDocument/2006/relationships/hyperlink" Target="https://login.consultant.ru/link/?req=doc&amp;base=LAW&amp;n=386337&amp;date=06.04.2023" TargetMode="External"/><Relationship Id="rId18" Type="http://schemas.openxmlformats.org/officeDocument/2006/relationships/hyperlink" Target="https://login.consultant.ru/link/?req=doc&amp;base=LAW&amp;n=213740&amp;date=06.04.2023&amp;dst=100009&amp;fie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4857&amp;date=06.04.2023" TargetMode="External"/><Relationship Id="rId7" Type="http://schemas.openxmlformats.org/officeDocument/2006/relationships/hyperlink" Target="https://login.consultant.ru/link/?req=doc&amp;base=LAW&amp;n=2875&amp;date=06.04.2023" TargetMode="External"/><Relationship Id="rId12" Type="http://schemas.openxmlformats.org/officeDocument/2006/relationships/hyperlink" Target="https://login.consultant.ru/link/?req=doc&amp;base=LAW&amp;n=193464&amp;date=06.04.2023&amp;dst=100006&amp;field=134" TargetMode="External"/><Relationship Id="rId17" Type="http://schemas.openxmlformats.org/officeDocument/2006/relationships/hyperlink" Target="https://login.consultant.ru/link/?req=doc&amp;base=LAW&amp;n=193464&amp;date=06.04.2023&amp;dst=100006&amp;field=13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7897&amp;date=06.04.2023&amp;dst=100007&amp;field=134" TargetMode="External"/><Relationship Id="rId20" Type="http://schemas.openxmlformats.org/officeDocument/2006/relationships/hyperlink" Target="https://login.consultant.ru/link/?req=doc&amp;base=LAW&amp;n=319308&amp;date=06.04.20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67897&amp;date=06.04.2023&amp;dst=100073&amp;field=13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65069&amp;date=06.04.2023&amp;dst=100014&amp;field=13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7927&amp;date=06.04.2023" TargetMode="External"/><Relationship Id="rId19" Type="http://schemas.openxmlformats.org/officeDocument/2006/relationships/hyperlink" Target="https://login.consultant.ru/link/?req=doc&amp;base=LAW&amp;n=319209&amp;date=06.04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026&amp;date=06.04.2023" TargetMode="External"/><Relationship Id="rId14" Type="http://schemas.openxmlformats.org/officeDocument/2006/relationships/hyperlink" Target="https://login.consultant.ru/link/?req=doc&amp;base=LAW&amp;n=442372&amp;date=06.04.2023" TargetMode="External"/><Relationship Id="rId22" Type="http://schemas.openxmlformats.org/officeDocument/2006/relationships/hyperlink" Target="https://login.consultant.ru/link/?req=doc&amp;base=LAW&amp;n=382369&amp;date=06.04.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5868</Words>
  <Characters>33452</Characters>
  <Application>Microsoft Office Word</Application>
  <DocSecurity>0</DocSecurity>
  <Lines>278</Lines>
  <Paragraphs>78</Paragraphs>
  <ScaleCrop>false</ScaleCrop>
  <Company/>
  <LinksUpToDate>false</LinksUpToDate>
  <CharactersWithSpaces>39242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29.12.2022 N 4356-р&amp;lt;Об утверждении Национальной стратегии действий в интересах женщин на 2023 - 2030 годы&amp;gt;</dc:title>
  <dc:creator>Татьяна Дегтярёва</dc:creator>
  <cp:lastModifiedBy>Татьяна Дегтярёва</cp:lastModifiedBy>
  <cp:revision>2</cp:revision>
  <dcterms:created xsi:type="dcterms:W3CDTF">2023-12-19T10:35:00Z</dcterms:created>
  <dcterms:modified xsi:type="dcterms:W3CDTF">2023-12-19T10:35:00Z</dcterms:modified>
</cp:coreProperties>
</file>