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0"/>
      <w:bookmarkStart w:id="1" w:name="_GoBack"/>
      <w:r w:rsidRPr="00314817">
        <w:rPr>
          <w:rFonts w:ascii="Arial" w:hAnsi="Arial" w:cs="Arial"/>
          <w:sz w:val="24"/>
          <w:szCs w:val="24"/>
        </w:rPr>
        <w:t xml:space="preserve"> 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bookmarkEnd w:id="0"/>
    <w:bookmarkEnd w:id="1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14817">
        <w:rPr>
          <w:rFonts w:ascii="Arial" w:hAnsi="Arial" w:cs="Arial"/>
          <w:sz w:val="24"/>
          <w:szCs w:val="24"/>
        </w:rPr>
        <w:t>Размеры и порядок уплаты государственной пошлины устанавливаются Налоговым кодексом Российской Федерации (Собрание законодательства Российской Федерации, 2000, N 32, ст. 3341; 2018, N 32 (ч. 2), ст. 5127 (</w:t>
      </w:r>
      <w:hyperlink r:id="rId5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глава 25.3</w:t>
        </w:r>
      </w:hyperlink>
      <w:r w:rsidRPr="00314817">
        <w:rPr>
          <w:rFonts w:ascii="Arial" w:hAnsi="Arial" w:cs="Arial"/>
          <w:sz w:val="24"/>
          <w:szCs w:val="24"/>
        </w:rPr>
        <w:t xml:space="preserve"> "Государственная пошлина").</w:t>
      </w:r>
      <w:proofErr w:type="gramEnd"/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Плательщики уплачивают государственную пошлину, если иной порядок не установлен </w:t>
      </w:r>
      <w:hyperlink r:id="rId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Федерации, в следующие сроки: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выдачей документов (их дубликатов) - до выдачи документов (их дубликатов);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Факт уплаты государственной пошлины плательщиком в наличной форме подтверждается либо квитанцией, выдаваемой плательщику банком, либо квитанцией, выдаваемой плательщику должностным лицом или кассой органа, в котором производилась оплата.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314817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14817">
        <w:rPr>
          <w:rFonts w:ascii="Arial" w:hAnsi="Arial" w:cs="Arial"/>
          <w:sz w:val="24"/>
          <w:szCs w:val="24"/>
        </w:rPr>
        <w:t xml:space="preserve"> N 210-ФЗ.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для физических лиц.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51"/>
      <w:r w:rsidRPr="00314817">
        <w:rPr>
          <w:rFonts w:ascii="Arial" w:hAnsi="Arial" w:cs="Arial"/>
          <w:sz w:val="24"/>
          <w:szCs w:val="24"/>
        </w:rPr>
        <w:t xml:space="preserve">51. Размер государственной пошлины за государственную регистрацию актов гражданского состояния, совершение иных юридически значимых действий, установленный </w:t>
      </w:r>
      <w:hyperlink r:id="rId9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333.26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Федерации, составляет: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066"/>
      <w:bookmarkEnd w:id="2"/>
      <w:r w:rsidRPr="00314817">
        <w:rPr>
          <w:rFonts w:ascii="Arial" w:hAnsi="Arial" w:cs="Arial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067"/>
      <w:bookmarkEnd w:id="3"/>
      <w:r w:rsidRPr="00314817">
        <w:rPr>
          <w:rFonts w:ascii="Arial" w:hAnsi="Arial" w:cs="Arial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bookmarkEnd w:id="4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взаимном согласии супругов, не имеющих общих несовершеннолетних детей,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расторжении брака в судебном порядке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068"/>
      <w:r w:rsidRPr="00314817">
        <w:rPr>
          <w:rFonts w:ascii="Arial" w:hAnsi="Arial" w:cs="Arial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069"/>
      <w:bookmarkEnd w:id="5"/>
      <w:r w:rsidRPr="00314817">
        <w:rPr>
          <w:rFonts w:ascii="Arial" w:hAnsi="Arial" w:cs="Arial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070"/>
      <w:bookmarkEnd w:id="6"/>
      <w:r w:rsidRPr="00314817">
        <w:rPr>
          <w:rFonts w:ascii="Arial" w:hAnsi="Arial" w:cs="Arial"/>
          <w:sz w:val="24"/>
          <w:szCs w:val="24"/>
        </w:rPr>
        <w:t>5) за внесение исправлений и изменений в записи актов гражданского состояния, включая выдачу свидетельств, - 650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071"/>
      <w:bookmarkEnd w:id="7"/>
      <w:r w:rsidRPr="00314817">
        <w:rPr>
          <w:rFonts w:ascii="Arial" w:hAnsi="Arial" w:cs="Arial"/>
          <w:sz w:val="24"/>
          <w:szCs w:val="24"/>
        </w:rPr>
        <w:lastRenderedPageBreak/>
        <w:t>6) за выдачу повторного свидетельства о государственной регистрации акта гражданского состояния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072"/>
      <w:bookmarkEnd w:id="8"/>
      <w:r w:rsidRPr="00314817">
        <w:rPr>
          <w:rFonts w:ascii="Arial" w:hAnsi="Arial" w:cs="Arial"/>
          <w:sz w:val="24"/>
          <w:szCs w:val="24"/>
        </w:rPr>
        <w:t>7) за выдачу физическим лицам справок из архивов органов ЗАГС и иных уполномоченных органов - 200 рублей.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52"/>
      <w:bookmarkEnd w:id="9"/>
      <w:r w:rsidRPr="00314817">
        <w:rPr>
          <w:rFonts w:ascii="Arial" w:hAnsi="Arial" w:cs="Arial"/>
          <w:sz w:val="24"/>
          <w:szCs w:val="24"/>
        </w:rPr>
        <w:t xml:space="preserve">52.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</w:t>
      </w:r>
      <w:hyperlink r:id="rId10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333.27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53"/>
      <w:bookmarkEnd w:id="10"/>
      <w:r w:rsidRPr="00314817">
        <w:rPr>
          <w:rFonts w:ascii="Arial" w:hAnsi="Arial" w:cs="Arial"/>
          <w:sz w:val="24"/>
          <w:szCs w:val="24"/>
        </w:rPr>
        <w:t xml:space="preserve">53. 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статьями 333.18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333.35</w:t>
        </w:r>
      </w:hyperlink>
      <w:r w:rsidRPr="00314817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333.39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54"/>
      <w:bookmarkEnd w:id="11"/>
      <w:r w:rsidRPr="00314817">
        <w:rPr>
          <w:rFonts w:ascii="Arial" w:hAnsi="Arial" w:cs="Arial"/>
          <w:sz w:val="24"/>
          <w:szCs w:val="24"/>
        </w:rPr>
        <w:t xml:space="preserve">54. 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главы 12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статьи 333.40 главы 25.3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bookmarkEnd w:id="12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состояния, по месту уплаты государственной пошлины в порядке, установленном </w:t>
      </w:r>
      <w:hyperlink r:id="rId1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314817">
          <w:rPr>
            <w:rFonts w:ascii="Arial" w:hAnsi="Arial" w:cs="Arial"/>
            <w:color w:val="106BBE"/>
            <w:sz w:val="24"/>
            <w:szCs w:val="24"/>
          </w:rPr>
          <w:t>пунктом 3 статьи 333.40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излишне уплаченной (</w:t>
      </w:r>
      <w:proofErr w:type="gramStart"/>
      <w:r w:rsidRPr="00314817">
        <w:rPr>
          <w:rFonts w:ascii="Arial" w:hAnsi="Arial" w:cs="Arial"/>
          <w:sz w:val="24"/>
          <w:szCs w:val="24"/>
        </w:rPr>
        <w:t xml:space="preserve">взысканной) </w:t>
      </w:r>
      <w:proofErr w:type="gramEnd"/>
      <w:r w:rsidRPr="00314817">
        <w:rPr>
          <w:rFonts w:ascii="Arial" w:hAnsi="Arial" w:cs="Arial"/>
          <w:sz w:val="24"/>
          <w:szCs w:val="24"/>
        </w:rPr>
        <w:t>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месячного срока со дня подачи плательщиком заявления о возврате государственной пошлины.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</w:t>
      </w:r>
      <w:proofErr w:type="gramStart"/>
      <w:r w:rsidRPr="00314817">
        <w:rPr>
          <w:rFonts w:ascii="Arial" w:hAnsi="Arial" w:cs="Arial"/>
          <w:sz w:val="24"/>
          <w:szCs w:val="24"/>
        </w:rPr>
        <w:t>была</w:t>
      </w:r>
      <w:proofErr w:type="gramEnd"/>
      <w:r w:rsidRPr="00314817">
        <w:rPr>
          <w:rFonts w:ascii="Arial" w:hAnsi="Arial" w:cs="Arial"/>
          <w:sz w:val="24"/>
          <w:szCs w:val="24"/>
        </w:rPr>
        <w:t xml:space="preserve">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059D" w:rsidRDefault="00B0059D"/>
    <w:sectPr w:rsidR="00B0059D" w:rsidSect="00314817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17"/>
    <w:rsid w:val="00314817"/>
    <w:rsid w:val="00B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3326" TargetMode="External"/><Relationship Id="rId13" Type="http://schemas.openxmlformats.org/officeDocument/2006/relationships/hyperlink" Target="garantF1://10800200.33339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2130" TargetMode="External"/><Relationship Id="rId12" Type="http://schemas.openxmlformats.org/officeDocument/2006/relationships/hyperlink" Target="garantF1://10800200.333035" TargetMode="External"/><Relationship Id="rId17" Type="http://schemas.openxmlformats.org/officeDocument/2006/relationships/hyperlink" Target="garantF1://10800200.3334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80020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garantF1://10800200.33318" TargetMode="External"/><Relationship Id="rId5" Type="http://schemas.openxmlformats.org/officeDocument/2006/relationships/hyperlink" Target="garantF1://10800200.200253" TargetMode="External"/><Relationship Id="rId15" Type="http://schemas.openxmlformats.org/officeDocument/2006/relationships/hyperlink" Target="garantF1://10800200.33340" TargetMode="External"/><Relationship Id="rId10" Type="http://schemas.openxmlformats.org/officeDocument/2006/relationships/hyperlink" Target="garantF1://10800200.333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33326" TargetMode="External"/><Relationship Id="rId14" Type="http://schemas.openxmlformats.org/officeDocument/2006/relationships/hyperlink" Target="garantF1://10800200.2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</cp:revision>
  <dcterms:created xsi:type="dcterms:W3CDTF">2019-02-08T11:24:00Z</dcterms:created>
  <dcterms:modified xsi:type="dcterms:W3CDTF">2019-02-08T11:26:00Z</dcterms:modified>
</cp:coreProperties>
</file>