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5189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25D24" w:rsidRDefault="00625D2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25D24" w:rsidRDefault="00625D2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1899">
        <w:rPr>
          <w:sz w:val="24"/>
          <w:szCs w:val="24"/>
          <w:u w:val="single"/>
        </w:rPr>
        <w:t xml:space="preserve">  24 декабря 2019 года </w:t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</w:r>
      <w:r w:rsidR="00951899">
        <w:rPr>
          <w:sz w:val="24"/>
          <w:szCs w:val="24"/>
        </w:rPr>
        <w:tab/>
        <w:t xml:space="preserve">        </w:t>
      </w:r>
      <w:r w:rsidR="00951899">
        <w:rPr>
          <w:sz w:val="24"/>
          <w:szCs w:val="24"/>
        </w:rPr>
        <w:tab/>
        <w:t xml:space="preserve">         №_</w:t>
      </w:r>
      <w:r w:rsidR="00951899" w:rsidRPr="00951899">
        <w:rPr>
          <w:sz w:val="24"/>
          <w:szCs w:val="24"/>
          <w:u w:val="single"/>
        </w:rPr>
        <w:t>2788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5D24" w:rsidRDefault="00625D24" w:rsidP="00625D24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625D24" w:rsidRDefault="00625D24" w:rsidP="00625D24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625D24" w:rsidRDefault="00625D24" w:rsidP="00625D24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3010</w:t>
      </w:r>
    </w:p>
    <w:p w:rsidR="00625D24" w:rsidRDefault="00625D24" w:rsidP="00625D24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625D24" w:rsidRDefault="00625D24" w:rsidP="00625D24">
      <w:pPr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 и спорта» </w:t>
      </w:r>
    </w:p>
    <w:p w:rsidR="00625D24" w:rsidRDefault="00625D24" w:rsidP="00625D24">
      <w:pPr>
        <w:ind w:firstLine="709"/>
        <w:rPr>
          <w:sz w:val="24"/>
          <w:szCs w:val="24"/>
        </w:rPr>
      </w:pPr>
    </w:p>
    <w:p w:rsidR="00625D24" w:rsidRDefault="00625D24" w:rsidP="00625D24">
      <w:pPr>
        <w:ind w:firstLine="709"/>
        <w:rPr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и реализации в соответствии с национальными целями развития»:    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Югорска от 31.10.2018 № 3010                 «О муниципальной программе города Югорска «Развитие физической культуры и спорта»              (с изменениями от 15.11.2018 № 3155, от 07.02.2019 № 278, от 30.04.2019 № 895, от 10.10.2019 № 2200) следующие изменения: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преамбуле слова «от 18.10.2018 № 2876» заменить словами «от 01.11.2019                      № 2359».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к постановлению изложить в новой редакции (приложение).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 и в государственной автоматизированной системе «Управление».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    но не ранее 01.01.2020.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625D24" w:rsidRDefault="00625D24" w:rsidP="00625D24">
      <w:pPr>
        <w:ind w:firstLine="567"/>
        <w:rPr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5D24" w:rsidRPr="00951899" w:rsidRDefault="00951899" w:rsidP="00625D2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</w:t>
      </w:r>
      <w:bookmarkStart w:id="0" w:name="_GoBack"/>
      <w:bookmarkEnd w:id="0"/>
      <w:r w:rsidR="00625D24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2788</w:t>
      </w:r>
    </w:p>
    <w:p w:rsidR="00625D24" w:rsidRPr="00625D24" w:rsidRDefault="00625D24" w:rsidP="007F4A15">
      <w:pPr>
        <w:jc w:val="both"/>
        <w:rPr>
          <w:sz w:val="16"/>
          <w:szCs w:val="16"/>
        </w:rPr>
      </w:pP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5D24" w:rsidRPr="00625D24" w:rsidRDefault="00625D24" w:rsidP="00625D2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3010</w:t>
      </w:r>
    </w:p>
    <w:p w:rsidR="00625D24" w:rsidRPr="00625D24" w:rsidRDefault="00625D24" w:rsidP="007F4A15">
      <w:pPr>
        <w:jc w:val="both"/>
        <w:rPr>
          <w:sz w:val="16"/>
          <w:szCs w:val="16"/>
        </w:rPr>
      </w:pPr>
    </w:p>
    <w:p w:rsidR="00625D24" w:rsidRDefault="00625D24" w:rsidP="00625D24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Муниципальная программа города Югорска</w:t>
      </w:r>
    </w:p>
    <w:p w:rsidR="00625D24" w:rsidRDefault="00625D24" w:rsidP="00625D24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 «Развитие физической культуры и спорта»</w:t>
      </w:r>
    </w:p>
    <w:p w:rsidR="00625D24" w:rsidRDefault="00625D24" w:rsidP="00625D24">
      <w:pPr>
        <w:jc w:val="center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 w:rsidR="00625D24" w:rsidRPr="00625D24" w:rsidRDefault="00625D24" w:rsidP="00625D24">
      <w:pPr>
        <w:jc w:val="center"/>
        <w:outlineLvl w:val="0"/>
        <w:rPr>
          <w:bCs/>
          <w:kern w:val="32"/>
          <w:sz w:val="16"/>
          <w:szCs w:val="16"/>
        </w:rPr>
      </w:pPr>
    </w:p>
    <w:p w:rsidR="00625D24" w:rsidRDefault="00625D24" w:rsidP="00625D24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Паспорт </w:t>
      </w:r>
    </w:p>
    <w:p w:rsidR="00625D24" w:rsidRDefault="00625D24" w:rsidP="00625D24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муниципальной программы</w:t>
      </w:r>
    </w:p>
    <w:p w:rsidR="00625D24" w:rsidRPr="00625D24" w:rsidRDefault="00625D24" w:rsidP="00625D24">
      <w:pPr>
        <w:widowControl w:val="0"/>
        <w:rPr>
          <w:rFonts w:cs="Arial"/>
          <w:kern w:val="2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утверждения муниципальной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Югорска от 31.10.2018 № 3010 «О муниципальной программе города Югорска «Развитие физической культуры и спорта»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 администрации города Югорска (далее – Управление)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Департамент </w:t>
            </w:r>
            <w:proofErr w:type="spellStart"/>
            <w:r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- коммунального и строительного комплекса администрации города Югорска.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Управление бухгалтерского учета и отчетности администрации города Югорска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Повышение мотивации всех возрастных категорий                         и социальных групп граждан к регулярным занятиям физической культурой и массовым спортом.</w:t>
            </w:r>
          </w:p>
          <w:p w:rsidR="00625D24" w:rsidRDefault="00625D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Создание для всех категорий и групп населения условий для занятий физической культурой и спортом, массовым спортом,    в том числе повышение уровня обеспеченности населения объектами спорта и подготовка спортивного резерва.</w:t>
            </w:r>
          </w:p>
          <w:p w:rsidR="00625D24" w:rsidRDefault="00625D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Создание условий для успешного выступления спортсменов города Югорска на официальных соревнованиях различного уровня.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Популяризация спорта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 «</w:t>
            </w:r>
            <w:r>
              <w:rPr>
                <w:color w:val="000000"/>
                <w:sz w:val="24"/>
                <w:szCs w:val="24"/>
              </w:rPr>
              <w:t>Обеспечение деятельности подведомственного учреждения по физической культуре               и спорту».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 «</w:t>
            </w:r>
            <w:r>
              <w:rPr>
                <w:color w:val="000000"/>
                <w:sz w:val="24"/>
                <w:szCs w:val="24"/>
              </w:rPr>
              <w:t xml:space="preserve">Осуществление ввода                            в эксплуатацию </w:t>
            </w:r>
            <w:proofErr w:type="spellStart"/>
            <w:r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спортивного комплекса                        с универсальным игровым залом».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 «Организация и проведение спортивно – массовых мероприятий в городе Югорске, участие спортсменов и сборных команд города Югорска                                    в соревнованиях различного уровня».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4 «Освещение мероприятий в сфере физической культуры и спорта среди населения в средствах </w:t>
            </w:r>
            <w:r>
              <w:rPr>
                <w:sz w:val="24"/>
                <w:szCs w:val="24"/>
              </w:rPr>
              <w:lastRenderedPageBreak/>
              <w:t>массовой информации».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5 «Укрепление материально – технической базы учреждений физической культуры и спорта».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 «</w:t>
            </w:r>
            <w:r>
              <w:rPr>
                <w:sz w:val="24"/>
                <w:szCs w:val="24"/>
                <w:lang w:eastAsia="ru-RU"/>
              </w:rPr>
              <w:t>Поддержка социально значимых некоммерческих организаций, осуществляющих деятельность   в сфере физической культуры и спорта».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7 «Участие в реализации регионального проекта «Спорт - норма жизни» 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проект «Демография»,</w:t>
            </w:r>
          </w:p>
          <w:p w:rsidR="00625D24" w:rsidRDefault="00625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«Демография»,</w:t>
            </w:r>
          </w:p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«Создание для всех категорий и групп населения условий для занятия физической культурой                              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 – 1 549,4 тыс. рублей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Увеличение количества спортивных сооружений в городе            с 88 до 120 ед., в том числе муниципальных с 59 до 70 ед.</w:t>
            </w:r>
          </w:p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Увеличение доли населения, систематически занимающегося физической культурой и спортом, от общей численности населения города Югорска, с 40,7% до 65,5%, в том числе               на базе муниципальных учреждений, сооружений с 28,5%                  до 43,0%. </w:t>
            </w:r>
          </w:p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3.Увеличение у</w:t>
            </w:r>
            <w:r>
              <w:rPr>
                <w:sz w:val="24"/>
                <w:szCs w:val="24"/>
              </w:rPr>
              <w:t xml:space="preserve">ровня обеспеченности населения спортивными сооружениями исходя из единовременной пропускной способности </w:t>
            </w:r>
            <w:r>
              <w:rPr>
                <w:sz w:val="24"/>
                <w:szCs w:val="24"/>
                <w:lang w:eastAsia="en-US"/>
              </w:rPr>
              <w:t>с 63,7% до 80,0%, в том числе муниципальными            с 34,8% до 48,6%.</w:t>
            </w:r>
          </w:p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 Увеличение количества проведенных спортивно - массовых мероприятий в городе Югорске, с 285 до 302 ед.</w:t>
            </w:r>
          </w:p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 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Югорске, с 22,8% до 33,0%.</w:t>
            </w:r>
          </w:p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 Повышение уровня удовлетворенности граждан города Югорска качеством услуг в сфере физической культуры                     и спорта, с 94,0% до 98,0%.</w:t>
            </w:r>
          </w:p>
          <w:p w:rsidR="00625D24" w:rsidRDefault="00625D2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 Увеличение доли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нормативов, с 30,0% до 70,0%,                в том числе учащиеся и студенты с 50,0% до 90,0%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и на период до 2030 года</w:t>
            </w:r>
          </w:p>
        </w:tc>
      </w:tr>
      <w:tr w:rsidR="00625D24" w:rsidTr="00625D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24" w:rsidRDefault="00625D24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1 616 525,7 </w:t>
            </w:r>
            <w:r>
              <w:rPr>
                <w:color w:val="000000"/>
                <w:kern w:val="2"/>
                <w:sz w:val="24"/>
                <w:szCs w:val="24"/>
              </w:rPr>
              <w:t>тыс. рублей, в том числе: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 год – 118 391,0 тыс. рублей;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 год – 144 654,6 тыс. рублей;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 год – 150 573,0 тыс. рублей;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 год – 121 227,1 тыс. рублей;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 год – 126 860,0 тыс. рублей;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 год – 127 460,0 тыс. рублей;</w:t>
            </w:r>
          </w:p>
          <w:p w:rsidR="00625D24" w:rsidRDefault="00625D24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 год – 128 060,0 тыс. рублей;</w:t>
            </w:r>
          </w:p>
          <w:p w:rsidR="00625D24" w:rsidRDefault="00625D24">
            <w:pPr>
              <w:pStyle w:val="31"/>
              <w:ind w:left="32" w:firstLine="5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2026 - 2030 год – 699 300,0 тыс. рублей</w:t>
            </w:r>
          </w:p>
        </w:tc>
      </w:tr>
    </w:tbl>
    <w:p w:rsidR="00625D24" w:rsidRDefault="00625D24" w:rsidP="00625D24">
      <w:pPr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Раздел 1. О стимулировании инвестиционной и инновационной деятельности, развитие конкуренции и негосударственного сектора экономики  </w:t>
      </w:r>
    </w:p>
    <w:p w:rsidR="00625D24" w:rsidRDefault="00625D24" w:rsidP="00625D24">
      <w:pPr>
        <w:rPr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Муниципальной программой предусмотрены мероприятия по формированию благоприятной деловой среды и внедрению практик по работе с некоммерческими организациями в сфере физической культуры и спорта.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мероприятий программы привлечение негосударственных организаций (коммерческих и некоммерческих), в том числе социально ориентированных, будет осуществляться по следующим направлениям: государственная поддержка некоммерческих организаций, реализующих проекты в сфере массовой физической культуры; государственная поддержка юридических лиц, осуществляющих развитие игровых, приоритетных видов спорта.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городе с целью развития конкурентной среды осуществляется организационно - 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организациям, планируется внедрение новых финансово - </w:t>
      </w:r>
      <w:proofErr w:type="gramStart"/>
      <w:r>
        <w:rPr>
          <w:sz w:val="24"/>
          <w:szCs w:val="24"/>
        </w:rPr>
        <w:t>экономических механизмов</w:t>
      </w:r>
      <w:proofErr w:type="gramEnd"/>
      <w:r>
        <w:rPr>
          <w:sz w:val="24"/>
          <w:szCs w:val="24"/>
        </w:rPr>
        <w:t>, обеспечивающих негосударственным организациям доступ к бюджетному финансированию.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Развитию конкуренции в городе Югорске способствует «Соглашение о сотрудничестве по реализации проекта «пилотной площадки» по разработке и апробации технологий поддержки негосударственных организаций, в том числе социально ориентированных некоммерческих организаций, социальных предпринимателей, оказывающих услуги в сфере физической культуры и спорта» от 14.12.2017 № 3, подписанное между Департаментом физической культуры и спорта Ханты – Мансийского автономного округа – Югры                              и Управлением социальной политики администрации города</w:t>
      </w:r>
      <w:proofErr w:type="gramEnd"/>
      <w:r>
        <w:rPr>
          <w:sz w:val="24"/>
          <w:szCs w:val="24"/>
        </w:rPr>
        <w:t xml:space="preserve"> Югорска.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Отдельные мероприятия муниципальной программы будут направлены на создание соответствующих условий для входа на рынок услуг по направлению физической культуры                и спорта негосударственных организаций.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инвестиционных проектов муниципальной программой не предусмотрена.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</w:p>
    <w:p w:rsidR="00625D24" w:rsidRDefault="00625D24" w:rsidP="00625D2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2. Характеристика основных мероприятий муниципальной программы</w:t>
      </w:r>
    </w:p>
    <w:p w:rsidR="00625D24" w:rsidRDefault="00625D24" w:rsidP="00625D24">
      <w:pPr>
        <w:rPr>
          <w:color w:val="000000"/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комплексного решения задач муниципальной программы осуществляется реализация основных мероприятий муниципальной программы.</w:t>
      </w:r>
    </w:p>
    <w:p w:rsidR="00625D24" w:rsidRDefault="00625D24" w:rsidP="00625D2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решение задачи 1 «Повышение мотивации всех возрастных категорий и социальных групп граждан к регулярным занятиям физической культурой и массовым спортом» будет направлено основное мероприятие 3: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муниципальной программе предусмотрено участие спортсменов города Югорска                   в составе сборных команд Ханты-Мансийского автономного округа-Югры и Уральского федерального округа для достижения высоких спортивных результатов. 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и проведение региональных этапов, обеспечение участия в мероприятиях, связанных со сдачей нормативов Всероссийского </w:t>
      </w:r>
      <w:proofErr w:type="spellStart"/>
      <w:r>
        <w:rPr>
          <w:color w:val="000000"/>
          <w:sz w:val="24"/>
          <w:szCs w:val="24"/>
        </w:rPr>
        <w:t>физкультурно</w:t>
      </w:r>
      <w:proofErr w:type="spellEnd"/>
      <w:r>
        <w:rPr>
          <w:color w:val="000000"/>
          <w:sz w:val="24"/>
          <w:szCs w:val="24"/>
        </w:rPr>
        <w:t xml:space="preserve"> – спортивного комплекса «Готов к труду и обороне».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сборных команд города Югорска по различным видам спорта.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соревнованиях различного уровня: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Первенства </w:t>
      </w:r>
      <w:r>
        <w:rPr>
          <w:sz w:val="24"/>
          <w:szCs w:val="24"/>
        </w:rPr>
        <w:t>Ханты-Мансийского автономного округа-Югры</w:t>
      </w:r>
      <w:r>
        <w:rPr>
          <w:color w:val="000000"/>
          <w:sz w:val="24"/>
          <w:szCs w:val="24"/>
        </w:rPr>
        <w:t>;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Первенства Уральского Федерального округа;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Первенства города Югорска;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соревнования, посвященные праздничным датам.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сборных команд города по различным видам спорта и отправка на участие              в соревнованиях различного уровня, предоставление спортивных залов для тренировочного процесса, повышение квалификации тренерско-преподавательского состава. Привлечение лиц  с инвалидностью  к занятиям физической культурой и спортом.</w:t>
      </w:r>
    </w:p>
    <w:p w:rsidR="00625D24" w:rsidRDefault="00625D24" w:rsidP="00625D24">
      <w:pPr>
        <w:pStyle w:val="aa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реализацию задачи 2 «Создание для всех категорий и групп населения условий для занятий физической культурой и спортом, массовым спортом, в том числе повышение уровня </w:t>
      </w:r>
      <w:r>
        <w:rPr>
          <w:rFonts w:ascii="Times New Roman" w:hAnsi="Times New Roman"/>
          <w:sz w:val="24"/>
          <w:szCs w:val="24"/>
        </w:rPr>
        <w:lastRenderedPageBreak/>
        <w:t>обеспеченности населения объектами спорта и подготовка спортивного резерва» будут направлены следующие основные мероприятия: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Основное мероприятие 1 «</w:t>
      </w:r>
      <w:r>
        <w:rPr>
          <w:color w:val="000000"/>
          <w:sz w:val="24"/>
          <w:szCs w:val="24"/>
        </w:rPr>
        <w:t>Обеспечение деятельности подведомственного учреждения по физической культуре и спорту».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социальной политики является главным распорядителем бюджетных средств и является учредителем муниципального бюджетного учреждения спортивная школа олимпийского резерва «Центр Югорского спорта», которому оно предоставляет субсидии на выполнение муниципального задания.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>В рамках мероприятия осуществляется обеспечение (финансирование) деятельности подведомственного учреждения (муниципальное бюджетное учреждение спортивная школа олимпийского резерва «Центр Югорского спорта»).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Основное мероприятие 2 «</w:t>
      </w:r>
      <w:r>
        <w:rPr>
          <w:color w:val="000000"/>
          <w:sz w:val="24"/>
          <w:szCs w:val="24"/>
        </w:rPr>
        <w:t xml:space="preserve">Осуществление ввода в эксплуатацию </w:t>
      </w:r>
      <w:proofErr w:type="spellStart"/>
      <w:r>
        <w:rPr>
          <w:color w:val="000000"/>
          <w:sz w:val="24"/>
          <w:szCs w:val="24"/>
        </w:rPr>
        <w:t>физкультурно</w:t>
      </w:r>
      <w:proofErr w:type="spellEnd"/>
      <w:r>
        <w:rPr>
          <w:color w:val="000000"/>
          <w:sz w:val="24"/>
          <w:szCs w:val="24"/>
        </w:rPr>
        <w:t xml:space="preserve"> – спортивного комплекса с универсальным игровым залом».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</w:rPr>
        <w:t>В рамках мероприятия предусмотрено: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- оплата земельного налога </w:t>
      </w:r>
      <w:proofErr w:type="spellStart"/>
      <w:r>
        <w:rPr>
          <w:rFonts w:ascii="Times New Roman" w:hAnsi="Times New Roman"/>
          <w:bCs/>
          <w:color w:val="000000"/>
          <w:kern w:val="2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– спортивного комплекса с универсальным игровым залом;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</w:rPr>
        <w:t>- осуществление расходов, связанных с выполнением работ по текущему ремонту;</w:t>
      </w:r>
    </w:p>
    <w:p w:rsidR="00625D24" w:rsidRDefault="00625D24" w:rsidP="00625D24">
      <w:pPr>
        <w:ind w:firstLine="709"/>
        <w:jc w:val="both"/>
        <w:rPr>
          <w:bCs/>
          <w:color w:val="000000"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>- расходы по выполнению работ по проведению текущей инвентаризации объекта.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Основное мероприятие 5 «Укрепление материально – технической базы учреждений физической культуры и спорта».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рамках основного мероприятия, предусмотрено приобретение спортивного оборудования, инвентаря, экипировки для укрепления материально – технической базы учреждения, что будет способствовать достижению целевых показателей муниципальной программы.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Основное мероприятие 7 «Участие в реализации регионального проекта «Спорт - норма жизни».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Благодаря участию в мероприятиях регионального проекта будет увеличено количество граждан, систематически занимающихся физической культурой и спортом, вырастет количество населения города Югорска ведущее здоровый образ жизни.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мероприятиями регионального проекта предусмотрено осуществление расходов по обеспечению </w:t>
      </w:r>
      <w:proofErr w:type="spellStart"/>
      <w:r>
        <w:rPr>
          <w:sz w:val="24"/>
          <w:szCs w:val="24"/>
        </w:rPr>
        <w:t>физкультурно</w:t>
      </w:r>
      <w:proofErr w:type="spellEnd"/>
      <w:r>
        <w:rPr>
          <w:sz w:val="24"/>
          <w:szCs w:val="24"/>
        </w:rPr>
        <w:t xml:space="preserve"> – 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               и участия в соревнованиях.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задачи 3 «Создание условий для успешного выступления спортсменов города Югорска на официальных соревнованиях различного уровня» в городе Югорске и за его пределами будет реализовываться основное мероприятие 3 «Организация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муниципальной программе предусмотрено участие спортсменов города Югорска                       в составе сборных команд Ханты-Мансийского автономного округа-Югры и Уральского федерального округа для достижения высоких спортивных результатов. 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и проведение региональных этапов, обеспечение участия в мероприятиях, связанных со сдачей нормативов Всероссийского </w:t>
      </w:r>
      <w:proofErr w:type="spellStart"/>
      <w:r>
        <w:rPr>
          <w:color w:val="000000"/>
          <w:sz w:val="24"/>
          <w:szCs w:val="24"/>
        </w:rPr>
        <w:t>физкультурно</w:t>
      </w:r>
      <w:proofErr w:type="spellEnd"/>
      <w:r>
        <w:rPr>
          <w:color w:val="000000"/>
          <w:sz w:val="24"/>
          <w:szCs w:val="24"/>
        </w:rPr>
        <w:t xml:space="preserve"> – спортивного комплекса «Готов к труду и обороне».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сборных команд города Югорска по различным видам спорта.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соревнованиях различного уровня: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Первенства </w:t>
      </w:r>
      <w:r>
        <w:rPr>
          <w:sz w:val="24"/>
          <w:szCs w:val="24"/>
        </w:rPr>
        <w:t>Ханты-Мансийского автономного округа-Югры</w:t>
      </w:r>
      <w:r>
        <w:rPr>
          <w:color w:val="000000"/>
          <w:sz w:val="24"/>
          <w:szCs w:val="24"/>
        </w:rPr>
        <w:t>;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Первенства Уральского Федерального округа;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Первенства города Югорска;</w:t>
      </w:r>
    </w:p>
    <w:p w:rsidR="00625D24" w:rsidRDefault="00625D24" w:rsidP="00625D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соревнования, посвященные праздничным датам.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сборных команд города по различным видам спорта и отправка на участие           в соревнованиях различного уровня, предоставление спортивных залов для тренировочного процесса, повышение квалификации тренерско-преподавательского состава. Привлечение лиц    с инвалидностью  к занятиям физической культурой и спортом.</w:t>
      </w:r>
    </w:p>
    <w:p w:rsidR="00625D24" w:rsidRPr="00625D24" w:rsidRDefault="00625D24" w:rsidP="00625D2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625D24">
        <w:rPr>
          <w:rFonts w:ascii="Times New Roman" w:hAnsi="Times New Roman"/>
          <w:sz w:val="24"/>
          <w:szCs w:val="24"/>
        </w:rPr>
        <w:lastRenderedPageBreak/>
        <w:t>На выполнение задачи 4 «Популяризация спорта» будут направлены следующие основные мероприятия: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Основное мероприятие 4 «Освещение мероприятий в сфере физической культуры                        и спорта среди населения в средствах массовой информации».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>Предусмотрено</w:t>
      </w:r>
      <w:r>
        <w:rPr>
          <w:sz w:val="24"/>
          <w:szCs w:val="24"/>
        </w:rPr>
        <w:t xml:space="preserve"> освещение мероприятий в сфере физической культуры и спорта среди населения в средствах массовой информации города Югорска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проводимых и проведенных спортивно - массовых мероприятий.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Основное мероприятие 6 «</w:t>
      </w:r>
      <w:r>
        <w:rPr>
          <w:sz w:val="24"/>
          <w:szCs w:val="24"/>
          <w:lang w:eastAsia="ru-RU"/>
        </w:rPr>
        <w:t>Поддержка социально значимых некоммерческих организаций, осуществляющих деятельность в сфере физической культуры и спорта».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Предусмотрена поддержка некоммерческих организаций </w:t>
      </w:r>
      <w:r>
        <w:rPr>
          <w:rFonts w:eastAsia="TimesNewRomanPSMT"/>
          <w:sz w:val="24"/>
          <w:szCs w:val="24"/>
        </w:rPr>
        <w:t>(за исключением государственных (муниципальных) учреждений)</w:t>
      </w:r>
      <w:r>
        <w:rPr>
          <w:sz w:val="24"/>
          <w:szCs w:val="24"/>
        </w:rPr>
        <w:t xml:space="preserve">, осуществляющих </w:t>
      </w:r>
      <w:r>
        <w:rPr>
          <w:rFonts w:eastAsia="TimesNewRomanPSMT"/>
          <w:sz w:val="24"/>
          <w:szCs w:val="24"/>
        </w:rPr>
        <w:t xml:space="preserve">организацию и проведение социально значимых общественных мероприятий </w:t>
      </w:r>
      <w:proofErr w:type="gramStart"/>
      <w:r>
        <w:rPr>
          <w:rFonts w:eastAsia="TimesNewRomanPSMT"/>
          <w:sz w:val="24"/>
          <w:szCs w:val="24"/>
        </w:rPr>
        <w:t>и(</w:t>
      </w:r>
      <w:proofErr w:type="gramEnd"/>
      <w:r>
        <w:rPr>
          <w:rFonts w:eastAsia="TimesNewRomanPSMT"/>
          <w:sz w:val="24"/>
          <w:szCs w:val="24"/>
        </w:rPr>
        <w:t xml:space="preserve">или) проектов </w:t>
      </w:r>
      <w:r>
        <w:rPr>
          <w:sz w:val="24"/>
          <w:szCs w:val="24"/>
        </w:rPr>
        <w:t>в сфере физической культуры и спорта среди различных групп населения города Югорска.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Поддержка некоммерческих организаций будет осуществляться на конкурсной основе              с предоставлением субсидий из бюджета города Югорска на организацию и проведение социально значимых общественных мероприятий, развитие технических видов спорта.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Раздел 3. Механизм реализации мероприятий муниципальной программы</w:t>
      </w:r>
    </w:p>
    <w:p w:rsidR="00625D24" w:rsidRDefault="00625D24" w:rsidP="00625D24">
      <w:pPr>
        <w:jc w:val="center"/>
        <w:outlineLvl w:val="1"/>
        <w:rPr>
          <w:b/>
          <w:bCs/>
          <w:iCs/>
          <w:color w:val="000000"/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Реализация мероприятий в сфере физической культуры и спорта является одним                   их направлений социальной политики города Югорска. Достижение поставленных результатов напрямую зависит от слаженной и скоординированной работы всех заинтересованных служб. Полномочия по реализации мероприятий в сфере физической культуры и спорта возложены            на основного исполнителя муниципальной программы - Управление социальной политики администрации города Югорска (далее – Управление) совместно с соисполнителями: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ja-JP" w:bidi="fa-IR"/>
        </w:rPr>
        <w:t xml:space="preserve">- </w:t>
      </w:r>
      <w:r>
        <w:rPr>
          <w:sz w:val="24"/>
          <w:szCs w:val="24"/>
        </w:rPr>
        <w:t xml:space="preserve">Департамент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625D24" w:rsidRDefault="00625D24" w:rsidP="00625D24">
      <w:pPr>
        <w:ind w:firstLine="709"/>
        <w:jc w:val="both"/>
        <w:rPr>
          <w:sz w:val="24"/>
          <w:szCs w:val="24"/>
          <w:lang w:eastAsia="ja-JP" w:bidi="fa-IR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eastAsia="ja-JP" w:bidi="fa-IR"/>
        </w:rPr>
        <w:t xml:space="preserve"> </w:t>
      </w:r>
      <w:r>
        <w:rPr>
          <w:sz w:val="24"/>
          <w:szCs w:val="24"/>
        </w:rPr>
        <w:t>Управление бухгалтерского учета и отчетности администрации города Югорска</w:t>
      </w:r>
      <w:r>
        <w:rPr>
          <w:sz w:val="24"/>
          <w:szCs w:val="24"/>
          <w:lang w:eastAsia="ja-JP" w:bidi="fa-IR"/>
        </w:rPr>
        <w:t xml:space="preserve">. 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исполнитель муниципальной программы осуществляет управление                   ее реализацией, при необходимости вносит предложения об изменении объемов финансовых средств, направляемых на решение отдельных ее задач.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Муниципальная программа реализуется совместными усилиями ответственного исполнителя, соисполнителей муниципальной программы и другими сторонними организациями, предприятиями и учреждениями, осуществляющими свою деятельность                      в области физической культуры и спорта.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разработку проектов нормативных правовых актов города Югорска, необходимых для выполнения муниципальной программы, и внесение их на рассмотрение главе города Югорска;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органов местного самоуправления и учреждений города Югорска;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муниципальной программой, эффективное использование средств, выделенных на ее реализацию;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в уполномоченные органы Ханты-Мансийского автономного округа-Югры, администрации города Югорска установленной отчетности о ходе реализации муниципальной программы;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исполнения требований нормативных документов по организации перевозок автотранспортными средствами организованных групп детей к месту проведения физкультурных мероприятий и спортивных мероприятий осуществляется информирование отдела Министерства внутренних дел Российской Федерации по городу </w:t>
      </w:r>
      <w:proofErr w:type="spellStart"/>
      <w:r>
        <w:rPr>
          <w:rFonts w:ascii="Times New Roman" w:hAnsi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/>
          <w:sz w:val="24"/>
          <w:szCs w:val="24"/>
        </w:rPr>
        <w:t xml:space="preserve">, Югорской межрайонной прокуратуры, Главного управления Министерства по чрезвычайным ситуациям Российской Федерации по городу </w:t>
      </w:r>
      <w:proofErr w:type="spellStart"/>
      <w:r>
        <w:rPr>
          <w:rFonts w:ascii="Times New Roman" w:hAnsi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/>
          <w:sz w:val="24"/>
          <w:szCs w:val="24"/>
        </w:rPr>
        <w:t xml:space="preserve"> посредством предоставления календарных планов официальных физкультурных мероприятий и спортивных мероприятий в Ханты-Мансийском автономном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округе-Югре, городе Югорске.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Оценка исполнения мероприятий муниципальной программы основана на мониторинге целевых показателей и конечных результатов ее реализации путем сопоставления, фактически достигнутых целевых показателей с показателями, установленными при утверждении муниципальной программы.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данными мониторинга по фактически достигнутым показателям реализации муниципальной программы в нее могут быть внесены изменения на основе данных проводимых социологических исследований в городе (с учетом изучения общественного мнения жителей города).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программных мероприятий муниципальной программы осуществляется: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на основе договоров, соглашений, заключаемых в установленном порядке                               в соответствии с законодательством Российской Федерации и Ханты-Мансийского автономного округа-Югры;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посредством предоставления подведомственному бюджетному учреждению (муниципальное бюджетное учреждение спортивная школа олимпийского резерва «Центр Югорского спорта») субсидий на выполнение муниципального задания на оказание муниципальных услуг (выполнение работ) и на иные цели.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федерального бюджета, бюджета Ханты-Мансийского автономного округа-Югры, местного бюджета, выделяемых в установленном порядке на эти цели. 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муниципальной программы будет способствовать достижению показателей национального проекта «Демография».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муниципальной программы основываются на статистических данных, полученных от учреждений, организаций и предприятий, осуществляющих работу в сфере физической культуры и спорта на территории города Югорска. Достижение установленных значений этих показателей зависит от эффективности и полноты реализации мероприятий соответствующих мероприятий программы. </w:t>
      </w:r>
      <w:proofErr w:type="gramStart"/>
      <w:r>
        <w:rPr>
          <w:rFonts w:ascii="Times New Roman" w:hAnsi="Times New Roman"/>
          <w:sz w:val="24"/>
          <w:szCs w:val="24"/>
        </w:rPr>
        <w:t>Сведения о целевых показателях муниципальной программы в приведены в таблице 1.</w:t>
      </w:r>
      <w:proofErr w:type="gramEnd"/>
      <w:r>
        <w:rPr>
          <w:rFonts w:ascii="Times New Roman" w:hAnsi="Times New Roman"/>
          <w:sz w:val="24"/>
          <w:szCs w:val="24"/>
        </w:rPr>
        <w:t xml:space="preserve"> Перечень возможных рисков при реализации муниципальной программы и мер по их преодолению – в таблице 5.</w:t>
      </w:r>
    </w:p>
    <w:p w:rsidR="00625D24" w:rsidRDefault="00625D24" w:rsidP="00625D24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5D24" w:rsidRDefault="00625D24" w:rsidP="00625D24">
      <w:pPr>
        <w:ind w:firstLine="540"/>
        <w:rPr>
          <w:sz w:val="24"/>
          <w:szCs w:val="24"/>
          <w:lang w:eastAsia="ja-JP" w:bidi="fa-IR"/>
        </w:rPr>
      </w:pPr>
    </w:p>
    <w:p w:rsidR="00625D24" w:rsidRDefault="00625D24" w:rsidP="00625D24">
      <w:pPr>
        <w:rPr>
          <w:sz w:val="24"/>
          <w:szCs w:val="24"/>
          <w:lang w:eastAsia="ja-JP" w:bidi="fa-IR"/>
        </w:rPr>
      </w:pPr>
    </w:p>
    <w:p w:rsidR="00625D24" w:rsidRDefault="00625D24" w:rsidP="00625D24">
      <w:pPr>
        <w:rPr>
          <w:sz w:val="24"/>
          <w:szCs w:val="24"/>
          <w:lang w:eastAsia="ja-JP" w:bidi="fa-IR"/>
        </w:rPr>
      </w:pPr>
    </w:p>
    <w:p w:rsidR="00625D24" w:rsidRDefault="00625D24" w:rsidP="00625D24">
      <w:pPr>
        <w:rPr>
          <w:lang w:eastAsia="ja-JP" w:bidi="fa-IR"/>
        </w:rPr>
      </w:pPr>
    </w:p>
    <w:p w:rsidR="00625D24" w:rsidRDefault="00625D24" w:rsidP="00625D24">
      <w:pPr>
        <w:rPr>
          <w:lang w:eastAsia="ja-JP" w:bidi="fa-IR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</w:pPr>
    </w:p>
    <w:p w:rsidR="00625D24" w:rsidRDefault="00625D24" w:rsidP="007F4A15">
      <w:pPr>
        <w:jc w:val="both"/>
        <w:rPr>
          <w:sz w:val="24"/>
          <w:szCs w:val="24"/>
        </w:rPr>
        <w:sectPr w:rsidR="00625D2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1 </w:t>
      </w:r>
    </w:p>
    <w:p w:rsidR="00625D24" w:rsidRDefault="00625D24" w:rsidP="00625D24">
      <w:pPr>
        <w:rPr>
          <w:sz w:val="24"/>
          <w:szCs w:val="24"/>
        </w:rPr>
      </w:pPr>
    </w:p>
    <w:p w:rsidR="00625D24" w:rsidRDefault="00625D24" w:rsidP="00625D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625D24" w:rsidRDefault="00625D24" w:rsidP="00625D24">
      <w:pPr>
        <w:jc w:val="center"/>
        <w:rPr>
          <w:b/>
        </w:rPr>
      </w:pPr>
    </w:p>
    <w:tbl>
      <w:tblPr>
        <w:tblW w:w="15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5061"/>
        <w:gridCol w:w="992"/>
        <w:gridCol w:w="1842"/>
        <w:gridCol w:w="738"/>
        <w:gridCol w:w="713"/>
        <w:gridCol w:w="720"/>
        <w:gridCol w:w="709"/>
        <w:gridCol w:w="708"/>
        <w:gridCol w:w="709"/>
        <w:gridCol w:w="694"/>
        <w:gridCol w:w="1983"/>
      </w:tblGrid>
      <w:tr w:rsidR="00625D24" w:rsidTr="00625D24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  целевого показателя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целевых показателей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Ед.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</w:p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Значение целевого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25D24" w:rsidTr="00625D24">
        <w:trPr>
          <w:cantSplit/>
          <w:trHeight w:val="1134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5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D24" w:rsidRDefault="00625D2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</w:tr>
      <w:tr w:rsidR="00625D24" w:rsidTr="00625D24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120</w:t>
            </w:r>
          </w:p>
        </w:tc>
      </w:tr>
      <w:tr w:rsidR="00625D24" w:rsidTr="00625D24"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- в том числе </w:t>
            </w:r>
            <w:proofErr w:type="gramStart"/>
            <w:r>
              <w:rPr>
                <w:sz w:val="22"/>
                <w:szCs w:val="24"/>
                <w:lang w:eastAsia="en-US"/>
              </w:rPr>
              <w:t>муниципальных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</w:tr>
      <w:tr w:rsidR="00625D24" w:rsidTr="00625D24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 xml:space="preserve">Доля населения, систематически </w:t>
            </w:r>
            <w:proofErr w:type="gramStart"/>
            <w:r>
              <w:rPr>
                <w:sz w:val="22"/>
                <w:szCs w:val="24"/>
                <w:lang w:eastAsia="en-US"/>
              </w:rPr>
              <w:t>занимающихся</w:t>
            </w:r>
            <w:proofErr w:type="gramEnd"/>
            <w:r>
              <w:rPr>
                <w:sz w:val="22"/>
                <w:szCs w:val="24"/>
                <w:lang w:eastAsia="en-US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65,5</w:t>
            </w:r>
          </w:p>
        </w:tc>
      </w:tr>
      <w:tr w:rsidR="00625D24" w:rsidTr="00625D24"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43,0</w:t>
            </w:r>
          </w:p>
        </w:tc>
      </w:tr>
      <w:tr w:rsidR="00625D24" w:rsidTr="00625D24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80,0</w:t>
            </w:r>
          </w:p>
        </w:tc>
      </w:tr>
      <w:tr w:rsidR="00625D24" w:rsidTr="00625D24"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- в том числе </w:t>
            </w:r>
            <w:proofErr w:type="gramStart"/>
            <w:r>
              <w:rPr>
                <w:sz w:val="22"/>
                <w:szCs w:val="24"/>
                <w:lang w:eastAsia="en-US"/>
              </w:rPr>
              <w:t>муниципальными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48,6</w:t>
            </w:r>
          </w:p>
        </w:tc>
      </w:tr>
      <w:tr w:rsidR="00625D24" w:rsidTr="00625D2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Количество проведенных спортивно - массовых мероприятий в городе Югорске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302</w:t>
            </w:r>
          </w:p>
        </w:tc>
      </w:tr>
      <w:tr w:rsidR="00625D24" w:rsidTr="00625D2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33,0</w:t>
            </w:r>
          </w:p>
        </w:tc>
      </w:tr>
      <w:tr w:rsidR="00625D24" w:rsidTr="00625D2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96,0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98,0</w:t>
            </w:r>
          </w:p>
        </w:tc>
      </w:tr>
      <w:tr w:rsidR="00625D24" w:rsidTr="00625D24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                         в сдаче нормативов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70,0</w:t>
            </w:r>
          </w:p>
        </w:tc>
      </w:tr>
      <w:tr w:rsidR="00625D24" w:rsidTr="00625D24"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- в том числе учащиеся и студенты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suppressAutoHyphens w:val="0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24" w:rsidRDefault="00625D2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90,0</w:t>
            </w:r>
          </w:p>
        </w:tc>
      </w:tr>
    </w:tbl>
    <w:p w:rsidR="00625D24" w:rsidRDefault="00625D24" w:rsidP="00625D24">
      <w:pPr>
        <w:jc w:val="both"/>
        <w:rPr>
          <w:lang w:eastAsia="en-US"/>
        </w:rPr>
      </w:pP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lastRenderedPageBreak/>
        <w:t>Расчет показателей производится следующим образом: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1.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>Количество спортивных сооружений в городе, в том числе муниципальных.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</w:rPr>
        <w:t>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2.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Доля населения, систематически занимающегося физической культурой и спортом, от общей численности населения города Югорска, </w:t>
      </w:r>
      <w:r>
        <w:rPr>
          <w:sz w:val="24"/>
          <w:szCs w:val="24"/>
          <w:lang w:eastAsia="en-US"/>
        </w:rPr>
        <w:t xml:space="preserve">                        </w:t>
      </w:r>
      <w:r w:rsidRPr="00625D24">
        <w:rPr>
          <w:sz w:val="24"/>
          <w:szCs w:val="24"/>
          <w:lang w:eastAsia="en-US"/>
        </w:rPr>
        <w:t xml:space="preserve">в том числе на базе муниципальных учреждений, сооружений.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</w:rPr>
      </w:pPr>
      <w:r w:rsidRPr="00625D24">
        <w:rPr>
          <w:sz w:val="24"/>
          <w:szCs w:val="24"/>
        </w:rPr>
        <w:t xml:space="preserve">Показатель характеризуется отношением числа лиц, занимающихся физической культурой и спортом по месту работы, к общей численности населения занятого в экономике на 01 января, </w:t>
      </w:r>
      <w:proofErr w:type="gramStart"/>
      <w:r w:rsidRPr="00625D24">
        <w:rPr>
          <w:sz w:val="24"/>
          <w:szCs w:val="24"/>
        </w:rPr>
        <w:t>умноженное</w:t>
      </w:r>
      <w:proofErr w:type="gramEnd"/>
      <w:r w:rsidRPr="00625D24">
        <w:rPr>
          <w:sz w:val="24"/>
          <w:szCs w:val="24"/>
        </w:rPr>
        <w:t xml:space="preserve"> на 100%.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3.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>У</w:t>
      </w:r>
      <w:r w:rsidRPr="00625D24">
        <w:rPr>
          <w:sz w:val="24"/>
          <w:szCs w:val="24"/>
        </w:rPr>
        <w:t xml:space="preserve">ровень обеспеченности населения спортивными сооружениями исходя из единовременной пропускной способности, </w:t>
      </w:r>
      <w:r w:rsidRPr="00625D24">
        <w:rPr>
          <w:sz w:val="24"/>
          <w:szCs w:val="24"/>
          <w:lang w:eastAsia="en-US"/>
        </w:rPr>
        <w:t>в том числе муниципальными.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</w:rPr>
      </w:pPr>
      <w:r w:rsidRPr="00625D24">
        <w:rPr>
          <w:sz w:val="24"/>
          <w:szCs w:val="24"/>
        </w:rPr>
        <w:t xml:space="preserve">Показатель определяет отношение единовременной пропускной способности спортивных сооружений по состоянию на 01 января </w:t>
      </w:r>
      <w:r>
        <w:rPr>
          <w:sz w:val="24"/>
          <w:szCs w:val="24"/>
        </w:rPr>
        <w:t xml:space="preserve">                                </w:t>
      </w:r>
      <w:r w:rsidRPr="00625D24">
        <w:rPr>
          <w:sz w:val="24"/>
          <w:szCs w:val="24"/>
        </w:rPr>
        <w:t>к численности населения в возрасте 3-79 лет на 01 января, умноженное на 1000, деленное на нормативный показатель (122), умноженное на 100%.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4.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>Количество проведенных спортивно - массовых мероприятий в городе Югорске.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</w:rPr>
      </w:pPr>
      <w:r w:rsidRPr="00625D24">
        <w:rPr>
          <w:sz w:val="24"/>
          <w:szCs w:val="24"/>
        </w:rPr>
        <w:t>Показатель формируется путем ежегодного подсчета количества проведенных спортивно-массовых мероприятий в городе Югорске.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5.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</w:rPr>
      </w:pPr>
      <w:r w:rsidRPr="00625D24">
        <w:rPr>
          <w:sz w:val="24"/>
          <w:szCs w:val="24"/>
        </w:rPr>
        <w:t xml:space="preserve">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</w:t>
      </w:r>
      <w:proofErr w:type="gramStart"/>
      <w:r w:rsidRPr="00625D24">
        <w:rPr>
          <w:sz w:val="24"/>
          <w:szCs w:val="24"/>
        </w:rPr>
        <w:t>умноженное</w:t>
      </w:r>
      <w:proofErr w:type="gramEnd"/>
      <w:r w:rsidRPr="00625D24">
        <w:rPr>
          <w:sz w:val="24"/>
          <w:szCs w:val="24"/>
        </w:rPr>
        <w:t xml:space="preserve"> на 100% по состоянию на 01 января.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6.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>Уровень удовлетворенности граждан города Югорска качеством услуг в сфере физической культуры и спорта.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</w:rPr>
      </w:pPr>
      <w:r w:rsidRPr="00625D24">
        <w:rPr>
          <w:sz w:val="24"/>
          <w:szCs w:val="24"/>
        </w:rPr>
        <w:t>Показатель формируется путем опроса граждан об уровне удовлетворенности качеством услуг в сфере физической культуры и спорта.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 xml:space="preserve">Показатель 7. 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  <w:lang w:eastAsia="en-US"/>
        </w:rPr>
      </w:pPr>
      <w:r w:rsidRPr="00625D24">
        <w:rPr>
          <w:sz w:val="24"/>
          <w:szCs w:val="24"/>
          <w:lang w:eastAsia="en-US"/>
        </w:rPr>
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нормативов.</w:t>
      </w:r>
    </w:p>
    <w:p w:rsidR="00625D24" w:rsidRPr="00625D24" w:rsidRDefault="00625D24" w:rsidP="00625D24">
      <w:pPr>
        <w:ind w:firstLine="709"/>
        <w:jc w:val="both"/>
        <w:rPr>
          <w:sz w:val="24"/>
          <w:szCs w:val="24"/>
        </w:rPr>
      </w:pPr>
      <w:r w:rsidRPr="00625D24">
        <w:rPr>
          <w:sz w:val="24"/>
          <w:szCs w:val="24"/>
        </w:rPr>
        <w:t xml:space="preserve">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обороне», от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обороне», умноженное на 100% </w:t>
      </w:r>
      <w:r>
        <w:rPr>
          <w:sz w:val="24"/>
          <w:szCs w:val="24"/>
        </w:rPr>
        <w:t xml:space="preserve">          </w:t>
      </w:r>
      <w:r w:rsidRPr="00625D24">
        <w:rPr>
          <w:sz w:val="24"/>
          <w:szCs w:val="24"/>
        </w:rPr>
        <w:t xml:space="preserve">по состоянию на </w:t>
      </w:r>
      <w:r>
        <w:rPr>
          <w:sz w:val="24"/>
          <w:szCs w:val="24"/>
        </w:rPr>
        <w:t>0</w:t>
      </w:r>
      <w:r w:rsidRPr="00625D24">
        <w:rPr>
          <w:sz w:val="24"/>
          <w:szCs w:val="24"/>
        </w:rPr>
        <w:t>1 января</w:t>
      </w: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ind w:firstLine="709"/>
        <w:jc w:val="both"/>
        <w:rPr>
          <w:sz w:val="24"/>
          <w:szCs w:val="24"/>
        </w:rPr>
      </w:pPr>
    </w:p>
    <w:p w:rsidR="00625D24" w:rsidRDefault="00625D24" w:rsidP="00625D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625D24" w:rsidRDefault="00625D24" w:rsidP="00625D24">
      <w:pPr>
        <w:rPr>
          <w:b/>
          <w:color w:val="000000"/>
        </w:rPr>
      </w:pPr>
    </w:p>
    <w:p w:rsidR="00625D24" w:rsidRDefault="00625D24" w:rsidP="00625D24">
      <w:pPr>
        <w:jc w:val="center"/>
        <w:rPr>
          <w:b/>
          <w:color w:val="000000"/>
          <w:sz w:val="24"/>
          <w:szCs w:val="24"/>
        </w:rPr>
      </w:pPr>
    </w:p>
    <w:p w:rsidR="00625D24" w:rsidRDefault="00625D24" w:rsidP="00625D2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  <w:r>
        <w:rPr>
          <w:b/>
          <w:color w:val="000000"/>
          <w:sz w:val="24"/>
          <w:szCs w:val="24"/>
        </w:rPr>
        <w:br/>
      </w:r>
    </w:p>
    <w:tbl>
      <w:tblPr>
        <w:tblW w:w="15661" w:type="dxa"/>
        <w:tblInd w:w="93" w:type="dxa"/>
        <w:tblLook w:val="04A0" w:firstRow="1" w:lastRow="0" w:firstColumn="1" w:lastColumn="0" w:noHBand="0" w:noVBand="1"/>
      </w:tblPr>
      <w:tblGrid>
        <w:gridCol w:w="960"/>
        <w:gridCol w:w="1103"/>
        <w:gridCol w:w="950"/>
        <w:gridCol w:w="1255"/>
        <w:gridCol w:w="1418"/>
        <w:gridCol w:w="1356"/>
        <w:gridCol w:w="1072"/>
        <w:gridCol w:w="941"/>
        <w:gridCol w:w="941"/>
        <w:gridCol w:w="941"/>
        <w:gridCol w:w="960"/>
        <w:gridCol w:w="941"/>
        <w:gridCol w:w="941"/>
        <w:gridCol w:w="941"/>
        <w:gridCol w:w="941"/>
      </w:tblGrid>
      <w:tr w:rsidR="00625D24" w:rsidRPr="00625D24" w:rsidTr="00C30B9A">
        <w:trPr>
          <w:trHeight w:val="67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6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625D24" w:rsidRPr="00625D24" w:rsidTr="00C30B9A">
        <w:trPr>
          <w:trHeight w:val="3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625D24" w:rsidRPr="00625D24" w:rsidTr="00C30B9A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2 022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2 024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2 025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625D24" w:rsidRPr="00625D24" w:rsidTr="00C30B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625D24" w:rsidRPr="00625D24" w:rsidTr="00C30B9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1 525 345,8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135 236,8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142 160,0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112 660,0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120 160,0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120 660,0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121 160,0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663 300,0</w:t>
            </w:r>
          </w:p>
        </w:tc>
      </w:tr>
      <w:tr w:rsidR="00625D24" w:rsidRPr="00625D24" w:rsidTr="00C30B9A">
        <w:trPr>
          <w:trHeight w:val="6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1 325 310,5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120 576,8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127 000,0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97 000,0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570 000,0</w:t>
            </w:r>
          </w:p>
        </w:tc>
      </w:tr>
      <w:tr w:rsidR="00625D24" w:rsidRPr="00625D24" w:rsidTr="00C30B9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200 035,3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14 660,0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15 160,0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16 660,0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17 160,0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93 300,0</w:t>
            </w:r>
          </w:p>
        </w:tc>
      </w:tr>
      <w:tr w:rsidR="00625D24" w:rsidRPr="00625D24" w:rsidTr="00C30B9A">
        <w:trPr>
          <w:trHeight w:val="3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625D24">
              <w:rPr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625D24">
              <w:rPr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 – </w:t>
            </w:r>
            <w:proofErr w:type="gramStart"/>
            <w:r w:rsidRPr="00625D24">
              <w:rPr>
                <w:color w:val="000000"/>
                <w:sz w:val="16"/>
                <w:szCs w:val="16"/>
                <w:lang w:eastAsia="ru-RU"/>
              </w:rPr>
              <w:t>коммунального</w:t>
            </w:r>
            <w:proofErr w:type="gramEnd"/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83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60 884,0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6 002,9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5 858,1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5 908,1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4 750,0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24 750,0</w:t>
            </w:r>
          </w:p>
        </w:tc>
      </w:tr>
      <w:tr w:rsidR="00625D24" w:rsidRPr="00625D24" w:rsidTr="00C30B9A">
        <w:trPr>
          <w:trHeight w:val="437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2 905,2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4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38 184,0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3 652,4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3 452,4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3 452,4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19 794,8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1 544,8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1 750,0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9 750,0</w:t>
            </w:r>
          </w:p>
        </w:tc>
      </w:tr>
      <w:tr w:rsidR="00625D24" w:rsidRPr="00625D24" w:rsidTr="00C30B9A">
        <w:trPr>
          <w:trHeight w:val="30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625D24" w:rsidRPr="00625D24" w:rsidTr="00C30B9A">
        <w:trPr>
          <w:trHeight w:val="4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6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12 041,0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1 092,4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862,4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967,2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</w:tr>
      <w:tr w:rsidR="00625D24" w:rsidRPr="00625D24" w:rsidTr="00C30B9A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2 311,6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629,2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629,2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681,3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5 329,4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313,2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625D24" w:rsidRPr="00625D24" w:rsidTr="00C30B9A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4 400,0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2 750,0</w:t>
            </w:r>
          </w:p>
        </w:tc>
      </w:tr>
      <w:tr w:rsidR="00625D24" w:rsidRPr="00625D24" w:rsidTr="00C30B9A">
        <w:trPr>
          <w:trHeight w:val="4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1 549,4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302,5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302,5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301,8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987,2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6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1 616 525,7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144 654,6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126 860,0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127 460,0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128 060,0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699 300,0</w:t>
            </w:r>
          </w:p>
        </w:tc>
      </w:tr>
      <w:tr w:rsidR="00625D24" w:rsidRPr="00625D24" w:rsidTr="00C30B9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6 204,0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4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1 385 607,0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126 577,6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625D24" w:rsidRPr="00625D24" w:rsidTr="00C30B9A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224 230,1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16 354,8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625D24" w:rsidRPr="00625D24" w:rsidTr="00C30B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5D24" w:rsidRPr="00625D24" w:rsidTr="00C30B9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4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1 616 525,7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144 654,6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126 860,0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127 460,0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128 060,0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699 300,0</w:t>
            </w:r>
          </w:p>
        </w:tc>
      </w:tr>
      <w:tr w:rsidR="00625D24" w:rsidRPr="00625D24" w:rsidTr="00C30B9A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6 204,0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2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1 385 607,0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126 577,6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224 230,1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16 354,8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625D24" w:rsidRPr="00625D24" w:rsidTr="00C30B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726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5D24" w:rsidRPr="00625D24" w:rsidTr="00C30B9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1 614 710,2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117 475,5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144 554,6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126 760,0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127 360,0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127 960,0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698 800,0</w:t>
            </w:r>
          </w:p>
        </w:tc>
      </w:tr>
      <w:tr w:rsidR="00625D24" w:rsidRPr="00625D24" w:rsidTr="00C30B9A">
        <w:trPr>
          <w:trHeight w:val="4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6 204,0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1 383 791,5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126 477,6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593 000,0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224 230,1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16 354,8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625D24" w:rsidRPr="00625D24" w:rsidTr="00C30B9A">
        <w:trPr>
          <w:trHeight w:val="31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625D24">
              <w:rPr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31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25D24">
              <w:rPr>
                <w:color w:val="000000"/>
                <w:sz w:val="16"/>
                <w:szCs w:val="16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625D24">
              <w:rPr>
                <w:color w:val="000000"/>
                <w:sz w:val="16"/>
                <w:szCs w:val="16"/>
                <w:lang w:eastAsia="ru-RU"/>
              </w:rPr>
              <w:t>Югорск</w:t>
            </w:r>
            <w:proofErr w:type="spellEnd"/>
            <w:r w:rsidRPr="00625D24">
              <w:rPr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625D24" w:rsidRPr="00625D24" w:rsidTr="00C30B9A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25D24" w:rsidRPr="00625D24" w:rsidTr="00C30B9A">
        <w:trPr>
          <w:trHeight w:val="1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625D24" w:rsidRPr="00625D24" w:rsidTr="00C30B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24" w:rsidRPr="00625D24" w:rsidRDefault="00625D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5D24" w:rsidRPr="00625D24" w:rsidRDefault="00625D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25D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C30B9A" w:rsidRDefault="00C30B9A" w:rsidP="00C30B9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C30B9A" w:rsidRDefault="00C30B9A" w:rsidP="00C30B9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C30B9A" w:rsidRDefault="00C30B9A" w:rsidP="00C30B9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>
        <w:rPr>
          <w:b/>
          <w:sz w:val="24"/>
          <w:szCs w:val="24"/>
        </w:rPr>
        <w:t>направленные</w:t>
      </w:r>
      <w:proofErr w:type="gramEnd"/>
      <w:r>
        <w:rPr>
          <w:b/>
          <w:sz w:val="24"/>
          <w:szCs w:val="24"/>
        </w:rPr>
        <w:t xml:space="preserve"> в том числе на исполнение </w:t>
      </w:r>
    </w:p>
    <w:p w:rsidR="00C30B9A" w:rsidRDefault="00C30B9A" w:rsidP="00C30B9A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национальных и федеральных проектов (программ) Российской Федерации </w:t>
      </w:r>
    </w:p>
    <w:p w:rsidR="00625D24" w:rsidRDefault="00625D24" w:rsidP="00C30B9A">
      <w:pPr>
        <w:jc w:val="both"/>
        <w:rPr>
          <w:sz w:val="24"/>
          <w:szCs w:val="24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216"/>
        <w:gridCol w:w="2492"/>
        <w:gridCol w:w="1276"/>
        <w:gridCol w:w="2510"/>
        <w:gridCol w:w="1116"/>
        <w:gridCol w:w="1611"/>
        <w:gridCol w:w="802"/>
        <w:gridCol w:w="661"/>
        <w:gridCol w:w="708"/>
        <w:gridCol w:w="705"/>
        <w:gridCol w:w="702"/>
        <w:gridCol w:w="624"/>
        <w:gridCol w:w="702"/>
      </w:tblGrid>
      <w:tr w:rsidR="00C30B9A" w:rsidRPr="00C30B9A" w:rsidTr="00C30B9A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 xml:space="preserve">№ </w:t>
            </w:r>
            <w:proofErr w:type="gramStart"/>
            <w:r w:rsidRPr="00C30B9A">
              <w:rPr>
                <w:sz w:val="18"/>
                <w:szCs w:val="18"/>
              </w:rPr>
              <w:t>п</w:t>
            </w:r>
            <w:proofErr w:type="gramEnd"/>
            <w:r w:rsidRPr="00C30B9A">
              <w:rPr>
                <w:sz w:val="18"/>
                <w:szCs w:val="18"/>
              </w:rPr>
              <w:t>/п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Цели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C30B9A" w:rsidRPr="00C30B9A" w:rsidTr="00C30B9A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Всего</w:t>
            </w:r>
          </w:p>
        </w:tc>
        <w:tc>
          <w:tcPr>
            <w:tcW w:w="1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в том числе по годам</w:t>
            </w:r>
          </w:p>
        </w:tc>
      </w:tr>
      <w:tr w:rsidR="00C30B9A" w:rsidRPr="00C30B9A" w:rsidTr="00C30B9A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30B9A">
              <w:rPr>
                <w:sz w:val="18"/>
                <w:szCs w:val="18"/>
              </w:rPr>
              <w:t>2019</w:t>
            </w:r>
            <w:r w:rsidRPr="00C30B9A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2020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2021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2022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2023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2024</w:t>
            </w:r>
          </w:p>
        </w:tc>
      </w:tr>
      <w:tr w:rsidR="00C30B9A" w:rsidRPr="00C30B9A" w:rsidTr="00C30B9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13</w:t>
            </w:r>
          </w:p>
        </w:tc>
      </w:tr>
      <w:tr w:rsidR="00C30B9A" w:rsidRPr="00C30B9A" w:rsidTr="00C30B9A">
        <w:trPr>
          <w:trHeight w:val="3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 xml:space="preserve">Раздел </w:t>
            </w:r>
            <w:r w:rsidRPr="00C30B9A">
              <w:rPr>
                <w:sz w:val="18"/>
                <w:szCs w:val="18"/>
                <w:lang w:val="en-US"/>
              </w:rPr>
              <w:t>I</w:t>
            </w:r>
            <w:r w:rsidRPr="00C30B9A">
              <w:rPr>
                <w:sz w:val="18"/>
                <w:szCs w:val="18"/>
              </w:rPr>
              <w:t xml:space="preserve">. Портфели проектов, основанные на национальных и федеральных проектах Российской Федерации </w:t>
            </w:r>
          </w:p>
        </w:tc>
      </w:tr>
      <w:tr w:rsidR="00C30B9A" w:rsidRPr="00C30B9A" w:rsidTr="00C30B9A">
        <w:trPr>
          <w:trHeight w:val="826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0B9A" w:rsidRPr="00C30B9A" w:rsidRDefault="00C30B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Портфель проектов «Демография»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Региональный проект</w:t>
            </w: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 xml:space="preserve"> (Спорт – норма жизни)»</w:t>
            </w: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0B9A" w:rsidRPr="00C30B9A" w:rsidRDefault="00C30B9A" w:rsidP="00C30B9A">
            <w:pPr>
              <w:rPr>
                <w:sz w:val="18"/>
                <w:szCs w:val="18"/>
              </w:rPr>
            </w:pPr>
          </w:p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7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 w:rsidP="00C30B9A">
            <w:pPr>
              <w:jc w:val="both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 xml:space="preserve">Доведение к 2024 году </w:t>
            </w:r>
            <w:r>
              <w:rPr>
                <w:sz w:val="18"/>
                <w:szCs w:val="18"/>
              </w:rPr>
              <w:t xml:space="preserve">                    </w:t>
            </w:r>
            <w:r w:rsidRPr="00C30B9A">
              <w:rPr>
                <w:sz w:val="18"/>
                <w:szCs w:val="18"/>
              </w:rPr>
              <w:t>до 63,0% доли населения, систематически занимающегося физической культурой и спортом, путем создания системы мотивации населения, активизации спортивно-м</w:t>
            </w:r>
            <w:r>
              <w:rPr>
                <w:sz w:val="18"/>
                <w:szCs w:val="18"/>
              </w:rPr>
              <w:t xml:space="preserve">ассовой работы на всех уровнях </w:t>
            </w:r>
            <w:r w:rsidRPr="00C30B9A">
              <w:rPr>
                <w:sz w:val="18"/>
                <w:szCs w:val="18"/>
              </w:rPr>
              <w:t>и в корпоративной среде, подготовки спортивного резерва и развития спортивной инфраструктуры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2019-2024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129,0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0,0</w:t>
            </w:r>
          </w:p>
        </w:tc>
      </w:tr>
      <w:tr w:rsidR="00C30B9A" w:rsidRPr="00C30B9A" w:rsidTr="00C30B9A">
        <w:trPr>
          <w:trHeight w:val="908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987,2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427,3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157,7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30B9A" w:rsidRPr="00C30B9A" w:rsidTr="00C30B9A">
        <w:trPr>
          <w:trHeight w:val="978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outlineLvl w:val="0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15,1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outlineLvl w:val="0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outlineLvl w:val="0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0,0</w:t>
            </w:r>
          </w:p>
        </w:tc>
      </w:tr>
      <w:tr w:rsidR="00C30B9A" w:rsidRPr="00C30B9A" w:rsidTr="00C30B9A">
        <w:trPr>
          <w:trHeight w:val="1913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color w:val="000000"/>
                <w:sz w:val="18"/>
                <w:szCs w:val="18"/>
              </w:rPr>
            </w:pPr>
            <w:r w:rsidRPr="00C30B9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30B9A" w:rsidRPr="00C30B9A" w:rsidTr="00C30B9A">
        <w:trPr>
          <w:trHeight w:val="43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  <w:r w:rsidRPr="00C30B9A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>1 549,4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>302,5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sz w:val="18"/>
                <w:szCs w:val="18"/>
              </w:rPr>
            </w:pPr>
            <w:r w:rsidRPr="00C30B9A">
              <w:rPr>
                <w:b/>
                <w:sz w:val="18"/>
                <w:szCs w:val="18"/>
              </w:rPr>
              <w:t>302,5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>301,8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C30B9A" w:rsidRPr="00C30B9A" w:rsidTr="00C30B9A">
        <w:trPr>
          <w:trHeight w:val="43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0B9A">
              <w:rPr>
                <w:b/>
                <w:color w:val="000000"/>
                <w:sz w:val="18"/>
                <w:szCs w:val="18"/>
              </w:rPr>
              <w:t xml:space="preserve">Разделы </w:t>
            </w:r>
            <w:r w:rsidRPr="00C30B9A">
              <w:rPr>
                <w:b/>
                <w:color w:val="000000"/>
                <w:sz w:val="18"/>
                <w:szCs w:val="18"/>
                <w:lang w:val="en-US"/>
              </w:rPr>
              <w:t>II</w:t>
            </w:r>
            <w:r w:rsidRPr="00C30B9A">
              <w:rPr>
                <w:b/>
                <w:color w:val="000000"/>
                <w:sz w:val="18"/>
                <w:szCs w:val="18"/>
              </w:rPr>
              <w:t xml:space="preserve"> – </w:t>
            </w:r>
            <w:r w:rsidRPr="00C30B9A">
              <w:rPr>
                <w:b/>
                <w:color w:val="000000"/>
                <w:sz w:val="18"/>
                <w:szCs w:val="18"/>
                <w:lang w:val="en-US"/>
              </w:rPr>
              <w:t>IV</w:t>
            </w:r>
            <w:r w:rsidRPr="00C30B9A">
              <w:rPr>
                <w:b/>
                <w:color w:val="000000"/>
                <w:sz w:val="18"/>
                <w:szCs w:val="18"/>
              </w:rPr>
              <w:t xml:space="preserve"> не заполняются в связи с отсутствием</w:t>
            </w:r>
          </w:p>
        </w:tc>
      </w:tr>
    </w:tbl>
    <w:p w:rsidR="00C30B9A" w:rsidRDefault="00C30B9A" w:rsidP="00625D24">
      <w:pPr>
        <w:ind w:firstLine="709"/>
        <w:jc w:val="both"/>
        <w:rPr>
          <w:sz w:val="24"/>
          <w:szCs w:val="24"/>
        </w:rPr>
      </w:pPr>
    </w:p>
    <w:p w:rsidR="00C30B9A" w:rsidRDefault="00C30B9A" w:rsidP="00625D24">
      <w:pPr>
        <w:ind w:firstLine="709"/>
        <w:jc w:val="both"/>
        <w:rPr>
          <w:sz w:val="24"/>
          <w:szCs w:val="24"/>
        </w:rPr>
      </w:pPr>
    </w:p>
    <w:p w:rsidR="00C30B9A" w:rsidRDefault="00C30B9A" w:rsidP="00625D24">
      <w:pPr>
        <w:ind w:firstLine="709"/>
        <w:jc w:val="both"/>
        <w:rPr>
          <w:sz w:val="24"/>
          <w:szCs w:val="24"/>
        </w:rPr>
      </w:pPr>
    </w:p>
    <w:p w:rsidR="00C30B9A" w:rsidRDefault="00C30B9A" w:rsidP="00625D24">
      <w:pPr>
        <w:ind w:firstLine="709"/>
        <w:jc w:val="both"/>
        <w:rPr>
          <w:sz w:val="24"/>
          <w:szCs w:val="24"/>
        </w:rPr>
      </w:pPr>
    </w:p>
    <w:p w:rsidR="00C30B9A" w:rsidRDefault="00C30B9A" w:rsidP="00C30B9A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4</w:t>
      </w:r>
    </w:p>
    <w:p w:rsidR="00C30B9A" w:rsidRDefault="00C30B9A" w:rsidP="00C30B9A">
      <w:pPr>
        <w:pStyle w:val="aa"/>
        <w:rPr>
          <w:rFonts w:ascii="Times New Roman" w:hAnsi="Times New Roman"/>
          <w:sz w:val="24"/>
          <w:szCs w:val="24"/>
        </w:rPr>
      </w:pPr>
    </w:p>
    <w:p w:rsidR="00C30B9A" w:rsidRDefault="00C30B9A" w:rsidP="00C30B9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Сводные показатели муниципальных заданий</w:t>
      </w:r>
    </w:p>
    <w:p w:rsidR="00C30B9A" w:rsidRDefault="00C30B9A" w:rsidP="00C30B9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4310"/>
        <w:gridCol w:w="2689"/>
        <w:gridCol w:w="703"/>
        <w:gridCol w:w="708"/>
        <w:gridCol w:w="709"/>
        <w:gridCol w:w="709"/>
        <w:gridCol w:w="709"/>
        <w:gridCol w:w="708"/>
        <w:gridCol w:w="709"/>
        <w:gridCol w:w="709"/>
        <w:gridCol w:w="2274"/>
      </w:tblGrid>
      <w:tr w:rsidR="00C30B9A" w:rsidRPr="00C30B9A" w:rsidTr="00C30B9A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30B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0B9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5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C30B9A" w:rsidRPr="00C30B9A" w:rsidTr="00C30B9A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B9A" w:rsidRPr="00C30B9A" w:rsidTr="00C30B9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30B9A" w:rsidRPr="00C30B9A" w:rsidTr="00C30B9A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Спортивная подготовка                           по олимпийским видам спорта: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0B9A" w:rsidRPr="00C30B9A" w:rsidTr="00C30B9A">
        <w:trPr>
          <w:trHeight w:val="37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- баскетбол;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C30B9A" w:rsidRPr="00C30B9A" w:rsidTr="00C30B9A">
        <w:trPr>
          <w:trHeight w:val="419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-художественная гимнастика;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C30B9A" w:rsidRPr="00C30B9A" w:rsidTr="00C30B9A">
        <w:trPr>
          <w:trHeight w:val="41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хоккей;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30B9A" w:rsidRPr="00C30B9A" w:rsidTr="00C30B9A">
        <w:trPr>
          <w:trHeight w:val="249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волейбол;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30B9A" w:rsidRPr="00C30B9A" w:rsidTr="00C30B9A">
        <w:trPr>
          <w:trHeight w:val="397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дзюдо;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C30B9A" w:rsidRPr="00C30B9A" w:rsidTr="00C30B9A">
        <w:trPr>
          <w:trHeight w:val="247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бокс;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C30B9A" w:rsidRPr="00C30B9A" w:rsidTr="00C30B9A">
        <w:trPr>
          <w:trHeight w:val="42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легкая атлетика;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30B9A" w:rsidRPr="00C30B9A" w:rsidTr="00C30B9A">
        <w:trPr>
          <w:trHeight w:val="413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теннис;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30B9A" w:rsidRPr="00C30B9A" w:rsidTr="00C30B9A">
        <w:trPr>
          <w:trHeight w:val="56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футбол;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C30B9A" w:rsidRPr="00C30B9A" w:rsidTr="00C30B9A">
        <w:trPr>
          <w:trHeight w:val="412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конный спорт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30B9A" w:rsidRPr="00C30B9A" w:rsidTr="00C30B9A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Спортивная подготовка                            по неолимпийским видам спорта: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B9A" w:rsidRPr="00C30B9A" w:rsidTr="00C30B9A">
        <w:trPr>
          <w:trHeight w:val="41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спортивная аэробика;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C30B9A" w:rsidRPr="00C30B9A" w:rsidTr="00C30B9A">
        <w:trPr>
          <w:trHeight w:val="416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спортивная акробатика;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30B9A" w:rsidRPr="00C30B9A" w:rsidTr="00C30B9A">
        <w:trPr>
          <w:trHeight w:val="42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пауэрлифтинг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30B9A" w:rsidRPr="00C30B9A" w:rsidTr="00C30B9A">
        <w:trPr>
          <w:trHeight w:val="563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мотоциклетный спорт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30B9A" w:rsidRPr="00C30B9A" w:rsidTr="00C30B9A">
        <w:trPr>
          <w:trHeight w:val="85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Организация и проведение официальных спортивных мероприятий: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B9A" w:rsidRPr="00C30B9A" w:rsidTr="00C30B9A">
        <w:trPr>
          <w:trHeight w:val="549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всероссийские;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(единица)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0B9A" w:rsidRPr="00C30B9A" w:rsidTr="00C30B9A">
        <w:trPr>
          <w:trHeight w:val="57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муниципальные;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(штука)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C30B9A" w:rsidRPr="00C30B9A" w:rsidTr="00C30B9A">
        <w:trPr>
          <w:trHeight w:val="55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региональные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(штука)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30B9A" w:rsidRPr="00C30B9A" w:rsidTr="00C30B9A">
        <w:trPr>
          <w:trHeight w:val="55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B9A" w:rsidRPr="00C30B9A" w:rsidTr="00C30B9A">
        <w:trPr>
          <w:trHeight w:val="55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региональные;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(штука)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C30B9A" w:rsidRPr="00C30B9A" w:rsidTr="00C30B9A">
        <w:trPr>
          <w:trHeight w:val="55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- всероссийские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center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(штука)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30B9A" w:rsidRPr="00C30B9A" w:rsidTr="00C30B9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Количество привлеченных лиц (человек)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</w:tr>
      <w:tr w:rsidR="00C30B9A" w:rsidRPr="00C30B9A" w:rsidTr="00C30B9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 w:rsidP="00C30B9A">
            <w:pPr>
              <w:jc w:val="both"/>
              <w:rPr>
                <w:sz w:val="24"/>
                <w:szCs w:val="24"/>
              </w:rPr>
            </w:pPr>
            <w:r w:rsidRPr="00C30B9A">
              <w:rPr>
                <w:sz w:val="24"/>
                <w:szCs w:val="24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                        (за исключением </w:t>
            </w:r>
            <w:proofErr w:type="gramStart"/>
            <w:r w:rsidRPr="00C30B9A">
              <w:rPr>
                <w:sz w:val="24"/>
                <w:szCs w:val="24"/>
              </w:rPr>
              <w:t>тестирования выполнения нормативов испытаний комплекса</w:t>
            </w:r>
            <w:proofErr w:type="gramEnd"/>
            <w:r w:rsidRPr="00C30B9A">
              <w:rPr>
                <w:sz w:val="24"/>
                <w:szCs w:val="24"/>
              </w:rPr>
              <w:t xml:space="preserve"> ГТО)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Количество мероприятий,</w:t>
            </w:r>
          </w:p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(штука)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9A" w:rsidRPr="00C30B9A" w:rsidRDefault="00C30B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0330BA" w:rsidRDefault="000330BA" w:rsidP="000330B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5</w:t>
      </w:r>
    </w:p>
    <w:p w:rsidR="000330BA" w:rsidRDefault="000330BA" w:rsidP="000330BA">
      <w:pPr>
        <w:jc w:val="center"/>
        <w:rPr>
          <w:b/>
          <w:sz w:val="24"/>
          <w:szCs w:val="24"/>
        </w:rPr>
      </w:pPr>
    </w:p>
    <w:p w:rsidR="000330BA" w:rsidRDefault="000330BA" w:rsidP="000330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0330BA" w:rsidRDefault="000330BA" w:rsidP="000330BA">
      <w:pPr>
        <w:rPr>
          <w:sz w:val="24"/>
          <w:szCs w:val="24"/>
        </w:rPr>
      </w:pPr>
    </w:p>
    <w:p w:rsidR="000330BA" w:rsidRDefault="000330BA" w:rsidP="000330BA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224"/>
        <w:gridCol w:w="8835"/>
      </w:tblGrid>
      <w:tr w:rsidR="000330BA" w:rsidTr="000330BA">
        <w:trPr>
          <w:trHeight w:val="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BA" w:rsidRDefault="000330BA">
            <w:pPr>
              <w:jc w:val="center"/>
            </w:pPr>
            <w:r>
              <w:t>№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BA" w:rsidRDefault="000330BA">
            <w:pPr>
              <w:jc w:val="center"/>
            </w:pPr>
            <w:r>
              <w:t>Описание риска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BA" w:rsidRDefault="000330BA">
            <w:pPr>
              <w:jc w:val="center"/>
            </w:pPr>
            <w:r>
              <w:t>Меры по преодолению риска</w:t>
            </w:r>
          </w:p>
        </w:tc>
      </w:tr>
      <w:tr w:rsidR="000330BA" w:rsidTr="000330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BA" w:rsidRDefault="000330BA">
            <w:pPr>
              <w:jc w:val="center"/>
            </w:pPr>
            <w: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Правовые риски связаны с изменением законодательства Российской Федерации, Ханты-Мансийского автономного округа-Югры                       и муниципального образования, длительностью формирования нормативно-правовой базы, необходимой для эффективной реализации муниципальной программы. Это может привести                       к существенному увеличению планируемых сроков или изменению условий реализации программных мероприятий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целях минимизации правовых рисков предполагается: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на этапе согласования проекта муниципальной программы привлечь для рассмотрения                        и подготовки предложений органы местного самоуправления, население, бизнес-сообщество, общественные организации путем размещения проекта на едином официальном сайте органов местного самоуправления в сети Интернет;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проводить мониторинг планируемых изменений в законодательстве Российской Федерации                   и Ханты-Мансийского автономного округа-Югры в сфере физической культуры</w:t>
            </w:r>
          </w:p>
        </w:tc>
      </w:tr>
      <w:tr w:rsidR="000330BA" w:rsidTr="000330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BA" w:rsidRDefault="000330BA">
            <w:pPr>
              <w:jc w:val="center"/>
            </w:pPr>
            <w: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Финансовые риски связаны с удорожанием стоимости товаров (услуг), непрогнозируемыми инфляционными процессами, что также может повлиять на объем и качество выполнения задач                       по улучшению материально-технической базы учреждений спорта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целях минимизации финансовых рисков предполагается: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планирование бюджетных расходов для эффективного расходования бюджетных средств;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привлечение внебюджетных источников финансирования на реализацию мероприятий муниципальной программы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  <w:tr w:rsidR="000330BA" w:rsidTr="000330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BA" w:rsidRDefault="000330BA">
            <w:pPr>
              <w:jc w:val="center"/>
            </w:pPr>
            <w:r>
              <w:t>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риски связаны с неэффективным управлением реализацией муниципальной программы, нарушением планируемых сроков реализации программы, невыполнением ее целей и задач,              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отрасли для реализации целей и задач муниципальной программы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размещение отчетов о ходе реализации муниципальной программы; на официальном сайте, сети интернет, 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повышение </w:t>
            </w:r>
            <w:proofErr w:type="gramStart"/>
            <w:r>
              <w:rPr>
                <w:lang w:eastAsia="en-US"/>
              </w:rPr>
              <w:t>эффективности взаимодействия участников реализации муниципальной программы</w:t>
            </w:r>
            <w:proofErr w:type="gramEnd"/>
            <w:r>
              <w:rPr>
                <w:lang w:eastAsia="en-US"/>
              </w:rPr>
              <w:t>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создание системы мониторинга реализации муниципальной программы;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г) своевременная корректировка программных мероприятий муниципальной программы;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д) рациональное использование имеющихся материальных и нематериальных ресурсов;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е) повышение ответственности за использование ресурсов, принятие ключевых решений                           в определении путей и методов реализации муниципальной программы.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ж) передача в аренду объектов спорта для реализации инвестиционных (предпринимательских) проектов на условиях государственно-частного партнерства.</w:t>
            </w:r>
          </w:p>
          <w:p w:rsidR="000330BA" w:rsidRDefault="000330BA">
            <w:pPr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</w:tbl>
    <w:p w:rsidR="000330BA" w:rsidRDefault="000330BA" w:rsidP="000330BA">
      <w:pPr>
        <w:ind w:firstLine="709"/>
        <w:jc w:val="both"/>
        <w:rPr>
          <w:sz w:val="24"/>
          <w:szCs w:val="24"/>
        </w:rPr>
      </w:pPr>
    </w:p>
    <w:p w:rsidR="000330BA" w:rsidRDefault="000330BA" w:rsidP="000330BA">
      <w:pPr>
        <w:ind w:firstLine="709"/>
        <w:jc w:val="both"/>
        <w:rPr>
          <w:sz w:val="24"/>
          <w:szCs w:val="24"/>
        </w:rPr>
      </w:pPr>
    </w:p>
    <w:p w:rsidR="00C30B9A" w:rsidRDefault="00C30B9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  <w:sectPr w:rsidR="000330BA" w:rsidSect="00625D2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6</w:t>
      </w: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Перечень объектов социально – культурного и </w:t>
      </w:r>
      <w:proofErr w:type="spellStart"/>
      <w:r>
        <w:rPr>
          <w:b/>
          <w:sz w:val="24"/>
          <w:szCs w:val="24"/>
        </w:rPr>
        <w:t>коммунально</w:t>
      </w:r>
      <w:proofErr w:type="spellEnd"/>
      <w:r>
        <w:rPr>
          <w:b/>
          <w:sz w:val="24"/>
          <w:szCs w:val="24"/>
        </w:rPr>
        <w:t xml:space="preserve"> – бытового назначения, масштабные инвестиции проекты </w:t>
      </w:r>
      <w:r>
        <w:rPr>
          <w:b/>
          <w:sz w:val="24"/>
          <w:szCs w:val="24"/>
          <w:vertAlign w:val="superscript"/>
        </w:rPr>
        <w:t>*</w:t>
      </w:r>
    </w:p>
    <w:p w:rsidR="000330BA" w:rsidRDefault="000330BA" w:rsidP="000330B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таблица 6 не заполнена в связи с отсутствием объектов социально – культурного и </w:t>
      </w:r>
      <w:proofErr w:type="spellStart"/>
      <w:r>
        <w:rPr>
          <w:sz w:val="24"/>
          <w:szCs w:val="24"/>
        </w:rPr>
        <w:t>коммунально</w:t>
      </w:r>
      <w:proofErr w:type="spellEnd"/>
      <w:r>
        <w:rPr>
          <w:sz w:val="24"/>
          <w:szCs w:val="24"/>
        </w:rPr>
        <w:t xml:space="preserve"> – бытового назначения, масштабных инвестиционных проектов</w:t>
      </w: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7</w:t>
      </w:r>
    </w:p>
    <w:p w:rsidR="000330BA" w:rsidRDefault="000330BA" w:rsidP="000330BA">
      <w:pPr>
        <w:widowControl w:val="0"/>
        <w:autoSpaceDE w:val="0"/>
        <w:autoSpaceDN w:val="0"/>
        <w:rPr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Перечень объектов капитального строительства </w:t>
      </w:r>
      <w:r>
        <w:rPr>
          <w:b/>
          <w:sz w:val="24"/>
          <w:szCs w:val="24"/>
          <w:vertAlign w:val="superscript"/>
        </w:rPr>
        <w:t>*</w:t>
      </w:r>
    </w:p>
    <w:p w:rsidR="000330BA" w:rsidRDefault="000330BA" w:rsidP="000330BA">
      <w:pPr>
        <w:widowControl w:val="0"/>
        <w:autoSpaceDE w:val="0"/>
        <w:autoSpaceDN w:val="0"/>
        <w:rPr>
          <w:sz w:val="24"/>
          <w:szCs w:val="24"/>
        </w:rPr>
      </w:pPr>
    </w:p>
    <w:p w:rsidR="000330BA" w:rsidRDefault="000330BA" w:rsidP="000330B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таблица 7 не заполнена в связи с отсутствием инвестиций в объекты капительного строительства </w:t>
      </w:r>
    </w:p>
    <w:p w:rsidR="000330BA" w:rsidRDefault="000330BA" w:rsidP="000330B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Default="000330BA" w:rsidP="00625D24">
      <w:pPr>
        <w:ind w:firstLine="709"/>
        <w:jc w:val="both"/>
        <w:rPr>
          <w:sz w:val="24"/>
          <w:szCs w:val="24"/>
        </w:rPr>
      </w:pPr>
    </w:p>
    <w:p w:rsidR="000330BA" w:rsidRPr="000330BA" w:rsidRDefault="000330BA" w:rsidP="000330BA">
      <w:pPr>
        <w:jc w:val="both"/>
        <w:rPr>
          <w:sz w:val="32"/>
          <w:szCs w:val="24"/>
        </w:rPr>
      </w:pPr>
    </w:p>
    <w:sectPr w:rsidR="000330BA" w:rsidRPr="000330BA" w:rsidSect="000330B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30BA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25D24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1899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0B9A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625D24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semiHidden/>
    <w:unhideWhenUsed/>
    <w:qFormat/>
    <w:rsid w:val="00625D24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semiHidden/>
    <w:unhideWhenUsed/>
    <w:qFormat/>
    <w:rsid w:val="00625D24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semiHidden/>
    <w:unhideWhenUsed/>
    <w:qFormat/>
    <w:rsid w:val="00625D24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625D24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rsid w:val="00625D24"/>
    <w:rPr>
      <w:rFonts w:ascii="Arial" w:hAnsi="Arial"/>
      <w:b/>
      <w:kern w:val="32"/>
      <w:sz w:val="32"/>
      <w:szCs w:val="20"/>
    </w:rPr>
  </w:style>
  <w:style w:type="character" w:customStyle="1" w:styleId="21">
    <w:name w:val="Заголовок 2 Знак"/>
    <w:aliases w:val="!Разделы документа Знак"/>
    <w:link w:val="20"/>
    <w:uiPriority w:val="99"/>
    <w:semiHidden/>
    <w:rsid w:val="00625D24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rsid w:val="00625D24"/>
    <w:rPr>
      <w:rFonts w:ascii="Arial" w:hAnsi="Arial"/>
      <w:kern w:val="2"/>
      <w:sz w:val="24"/>
      <w:szCs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9">
    <w:name w:val="Без интервала Знак"/>
    <w:link w:val="aa"/>
    <w:uiPriority w:val="99"/>
    <w:locked/>
    <w:rsid w:val="00625D24"/>
  </w:style>
  <w:style w:type="paragraph" w:styleId="aa">
    <w:name w:val="No Spacing"/>
    <w:link w:val="a9"/>
    <w:uiPriority w:val="99"/>
    <w:qFormat/>
    <w:rsid w:val="00625D24"/>
    <w:rPr>
      <w:sz w:val="22"/>
      <w:szCs w:val="22"/>
    </w:rPr>
  </w:style>
  <w:style w:type="paragraph" w:customStyle="1" w:styleId="31">
    <w:name w:val="Основной текст 31"/>
    <w:basedOn w:val="a0"/>
    <w:uiPriority w:val="99"/>
    <w:rsid w:val="00625D24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25D2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625D2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uiPriority w:val="99"/>
    <w:semiHidden/>
    <w:rsid w:val="00625D24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semiHidden/>
    <w:rsid w:val="00625D24"/>
    <w:rPr>
      <w:rFonts w:ascii="Arial" w:hAnsi="Arial"/>
      <w:b/>
      <w:sz w:val="28"/>
      <w:szCs w:val="20"/>
    </w:rPr>
  </w:style>
  <w:style w:type="character" w:customStyle="1" w:styleId="11">
    <w:name w:val="Заголовок 1 Знак1"/>
    <w:aliases w:val="!Части документа Знак1"/>
    <w:uiPriority w:val="99"/>
    <w:rsid w:val="00625D24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link w:val="HTML0"/>
    <w:uiPriority w:val="99"/>
    <w:semiHidden/>
    <w:rsid w:val="00625D24"/>
    <w:rPr>
      <w:rFonts w:ascii="Courier New" w:hAnsi="Courier New"/>
      <w:sz w:val="20"/>
      <w:szCs w:val="20"/>
    </w:rPr>
  </w:style>
  <w:style w:type="paragraph" w:styleId="HTML0">
    <w:name w:val="HTML Preformatted"/>
    <w:basedOn w:val="a0"/>
    <w:link w:val="HTML"/>
    <w:uiPriority w:val="99"/>
    <w:semiHidden/>
    <w:unhideWhenUsed/>
    <w:rsid w:val="00625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ab">
    <w:name w:val="Текст сноски Знак"/>
    <w:link w:val="ac"/>
    <w:uiPriority w:val="99"/>
    <w:semiHidden/>
    <w:rsid w:val="00625D24"/>
    <w:rPr>
      <w:rFonts w:ascii="Arial" w:hAnsi="Arial"/>
      <w:sz w:val="24"/>
      <w:szCs w:val="20"/>
    </w:rPr>
  </w:style>
  <w:style w:type="paragraph" w:styleId="ac">
    <w:name w:val="footnote text"/>
    <w:basedOn w:val="a0"/>
    <w:link w:val="ab"/>
    <w:uiPriority w:val="99"/>
    <w:semiHidden/>
    <w:unhideWhenUsed/>
    <w:rsid w:val="00625D24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d">
    <w:name w:val="Текст примечания Знак"/>
    <w:aliases w:val="!Равноширинный текст документа Знак"/>
    <w:link w:val="ae"/>
    <w:semiHidden/>
    <w:locked/>
    <w:rsid w:val="00625D24"/>
    <w:rPr>
      <w:rFonts w:ascii="Courier" w:hAnsi="Courier"/>
    </w:rPr>
  </w:style>
  <w:style w:type="paragraph" w:styleId="ae">
    <w:name w:val="annotation text"/>
    <w:aliases w:val="!Равноширинный текст документа"/>
    <w:basedOn w:val="a0"/>
    <w:link w:val="ad"/>
    <w:semiHidden/>
    <w:unhideWhenUsed/>
    <w:rsid w:val="00625D24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625D24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Верхний колонтитул Знак"/>
    <w:link w:val="af0"/>
    <w:uiPriority w:val="99"/>
    <w:semiHidden/>
    <w:rsid w:val="00625D24"/>
    <w:rPr>
      <w:rFonts w:ascii="Arial" w:hAnsi="Arial"/>
      <w:sz w:val="24"/>
      <w:szCs w:val="20"/>
    </w:rPr>
  </w:style>
  <w:style w:type="paragraph" w:styleId="af0">
    <w:name w:val="header"/>
    <w:basedOn w:val="a0"/>
    <w:link w:val="af"/>
    <w:uiPriority w:val="99"/>
    <w:semiHidden/>
    <w:unhideWhenUsed/>
    <w:rsid w:val="00625D24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1">
    <w:name w:val="Нижний колонтитул Знак"/>
    <w:link w:val="af2"/>
    <w:uiPriority w:val="99"/>
    <w:semiHidden/>
    <w:rsid w:val="00625D24"/>
    <w:rPr>
      <w:rFonts w:ascii="Arial" w:hAnsi="Arial"/>
      <w:sz w:val="24"/>
      <w:szCs w:val="20"/>
    </w:rPr>
  </w:style>
  <w:style w:type="paragraph" w:styleId="af2">
    <w:name w:val="footer"/>
    <w:basedOn w:val="a0"/>
    <w:link w:val="af1"/>
    <w:uiPriority w:val="99"/>
    <w:semiHidden/>
    <w:unhideWhenUsed/>
    <w:rsid w:val="00625D24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3">
    <w:name w:val="Текст концевой сноски Знак"/>
    <w:link w:val="af4"/>
    <w:uiPriority w:val="99"/>
    <w:semiHidden/>
    <w:rsid w:val="00625D24"/>
    <w:rPr>
      <w:sz w:val="24"/>
      <w:szCs w:val="20"/>
    </w:rPr>
  </w:style>
  <w:style w:type="paragraph" w:styleId="af4">
    <w:name w:val="endnote text"/>
    <w:basedOn w:val="a0"/>
    <w:link w:val="af3"/>
    <w:uiPriority w:val="99"/>
    <w:semiHidden/>
    <w:unhideWhenUsed/>
    <w:rsid w:val="00625D24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af5">
    <w:name w:val="Основной текст Знак"/>
    <w:link w:val="af6"/>
    <w:uiPriority w:val="99"/>
    <w:semiHidden/>
    <w:rsid w:val="00625D24"/>
    <w:rPr>
      <w:rFonts w:ascii="Times New Roman" w:hAnsi="Times New Roman"/>
      <w:b/>
      <w:sz w:val="20"/>
      <w:szCs w:val="20"/>
      <w:lang w:eastAsia="ar-SA"/>
    </w:rPr>
  </w:style>
  <w:style w:type="paragraph" w:styleId="af6">
    <w:name w:val="Body Text"/>
    <w:basedOn w:val="a0"/>
    <w:link w:val="af5"/>
    <w:uiPriority w:val="99"/>
    <w:semiHidden/>
    <w:unhideWhenUsed/>
    <w:rsid w:val="00625D24"/>
    <w:pPr>
      <w:ind w:firstLine="567"/>
      <w:jc w:val="center"/>
    </w:pPr>
    <w:rPr>
      <w:rFonts w:eastAsia="Calibri"/>
      <w:b/>
    </w:rPr>
  </w:style>
  <w:style w:type="paragraph" w:styleId="af7">
    <w:name w:val="Subtitle"/>
    <w:basedOn w:val="a0"/>
    <w:next w:val="a0"/>
    <w:link w:val="af8"/>
    <w:uiPriority w:val="99"/>
    <w:qFormat/>
    <w:rsid w:val="00625D24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8">
    <w:name w:val="Подзаголовок Знак"/>
    <w:link w:val="af7"/>
    <w:uiPriority w:val="99"/>
    <w:rsid w:val="00625D24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2">
    <w:name w:val="Основной текст 2 Знак"/>
    <w:link w:val="23"/>
    <w:uiPriority w:val="99"/>
    <w:semiHidden/>
    <w:rsid w:val="00625D24"/>
    <w:rPr>
      <w:rFonts w:ascii="Arial" w:hAnsi="Arial"/>
      <w:sz w:val="24"/>
      <w:szCs w:val="20"/>
    </w:rPr>
  </w:style>
  <w:style w:type="paragraph" w:styleId="23">
    <w:name w:val="Body Text 2"/>
    <w:basedOn w:val="a0"/>
    <w:link w:val="22"/>
    <w:uiPriority w:val="99"/>
    <w:semiHidden/>
    <w:unhideWhenUsed/>
    <w:rsid w:val="00625D24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32">
    <w:name w:val="Основной текст 3 Знак"/>
    <w:link w:val="33"/>
    <w:uiPriority w:val="99"/>
    <w:semiHidden/>
    <w:rsid w:val="00625D24"/>
    <w:rPr>
      <w:rFonts w:ascii="Arial" w:hAnsi="Arial"/>
      <w:sz w:val="16"/>
      <w:szCs w:val="20"/>
    </w:rPr>
  </w:style>
  <w:style w:type="paragraph" w:styleId="33">
    <w:name w:val="Body Text 3"/>
    <w:basedOn w:val="a0"/>
    <w:link w:val="32"/>
    <w:uiPriority w:val="99"/>
    <w:semiHidden/>
    <w:unhideWhenUsed/>
    <w:rsid w:val="00625D24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24">
    <w:name w:val="Основной текст с отступом 2 Знак"/>
    <w:link w:val="25"/>
    <w:uiPriority w:val="99"/>
    <w:semiHidden/>
    <w:rsid w:val="00625D24"/>
    <w:rPr>
      <w:rFonts w:ascii="Arial" w:hAnsi="Arial"/>
      <w:sz w:val="28"/>
      <w:szCs w:val="20"/>
    </w:rPr>
  </w:style>
  <w:style w:type="paragraph" w:styleId="25">
    <w:name w:val="Body Text Indent 2"/>
    <w:basedOn w:val="a0"/>
    <w:link w:val="24"/>
    <w:uiPriority w:val="99"/>
    <w:semiHidden/>
    <w:unhideWhenUsed/>
    <w:rsid w:val="00625D24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34">
    <w:name w:val="Основной текст с отступом 3 Знак"/>
    <w:link w:val="35"/>
    <w:uiPriority w:val="99"/>
    <w:semiHidden/>
    <w:rsid w:val="00625D24"/>
    <w:rPr>
      <w:sz w:val="16"/>
      <w:szCs w:val="20"/>
    </w:rPr>
  </w:style>
  <w:style w:type="paragraph" w:styleId="35">
    <w:name w:val="Body Text Indent 3"/>
    <w:basedOn w:val="a0"/>
    <w:link w:val="34"/>
    <w:uiPriority w:val="99"/>
    <w:semiHidden/>
    <w:unhideWhenUsed/>
    <w:rsid w:val="00625D24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625D24"/>
    <w:rPr>
      <w:b/>
    </w:rPr>
  </w:style>
  <w:style w:type="character" w:customStyle="1" w:styleId="afa">
    <w:name w:val="Тема примечания Знак"/>
    <w:link w:val="af9"/>
    <w:uiPriority w:val="99"/>
    <w:semiHidden/>
    <w:rsid w:val="00625D24"/>
    <w:rPr>
      <w:rFonts w:ascii="Courier" w:eastAsia="Times New Roman" w:hAnsi="Courier"/>
      <w:b/>
      <w:sz w:val="20"/>
      <w:szCs w:val="20"/>
      <w:lang w:eastAsia="ar-SA"/>
    </w:rPr>
  </w:style>
  <w:style w:type="paragraph" w:customStyle="1" w:styleId="Pro-Tab">
    <w:name w:val="Pro-Tab #"/>
    <w:basedOn w:val="a0"/>
    <w:uiPriority w:val="99"/>
    <w:semiHidden/>
    <w:rsid w:val="00625D24"/>
    <w:pPr>
      <w:numPr>
        <w:numId w:val="2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">
    <w:name w:val="Глава Ч 2"/>
    <w:basedOn w:val="afb"/>
    <w:uiPriority w:val="99"/>
    <w:semiHidden/>
    <w:rsid w:val="00625D24"/>
    <w:pPr>
      <w:numPr>
        <w:numId w:val="4"/>
      </w:numPr>
      <w:spacing w:before="0" w:after="0"/>
      <w:ind w:firstLine="0"/>
      <w:jc w:val="center"/>
    </w:pPr>
    <w:rPr>
      <w:b/>
      <w:sz w:val="26"/>
      <w:szCs w:val="26"/>
    </w:rPr>
  </w:style>
  <w:style w:type="paragraph" w:styleId="afb">
    <w:name w:val="Normal (Web)"/>
    <w:basedOn w:val="a0"/>
    <w:uiPriority w:val="99"/>
    <w:semiHidden/>
    <w:unhideWhenUsed/>
    <w:rsid w:val="00625D24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">
    <w:name w:val="Параграф"/>
    <w:basedOn w:val="a6"/>
    <w:uiPriority w:val="99"/>
    <w:semiHidden/>
    <w:rsid w:val="00625D24"/>
    <w:pPr>
      <w:numPr>
        <w:ilvl w:val="2"/>
        <w:numId w:val="6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character" w:customStyle="1" w:styleId="41">
    <w:name w:val="Основной текст (4)_"/>
    <w:link w:val="410"/>
    <w:uiPriority w:val="99"/>
    <w:semiHidden/>
    <w:locked/>
    <w:rsid w:val="00625D24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semiHidden/>
    <w:rsid w:val="00625D24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afc">
    <w:name w:val="Цветовое выделение"/>
    <w:uiPriority w:val="99"/>
    <w:rsid w:val="00625D24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625D24"/>
    <w:rPr>
      <w:rFonts w:ascii="Courier New" w:hAnsi="Courier New" w:cs="Courier New" w:hint="default"/>
      <w:lang w:eastAsia="ru-RU"/>
    </w:rPr>
  </w:style>
  <w:style w:type="character" w:customStyle="1" w:styleId="FontStyle232">
    <w:name w:val="Font Style232"/>
    <w:uiPriority w:val="99"/>
    <w:rsid w:val="00625D24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625D24"/>
  </w:style>
  <w:style w:type="character" w:customStyle="1" w:styleId="WW-Absatz-Standardschriftart">
    <w:name w:val="WW-Absatz-Standardschriftart"/>
    <w:uiPriority w:val="99"/>
    <w:rsid w:val="00625D24"/>
  </w:style>
  <w:style w:type="character" w:customStyle="1" w:styleId="WW-Absatz-Standardschriftart1">
    <w:name w:val="WW-Absatz-Standardschriftart1"/>
    <w:uiPriority w:val="99"/>
    <w:rsid w:val="00625D24"/>
  </w:style>
  <w:style w:type="character" w:customStyle="1" w:styleId="WW8Num2z0">
    <w:name w:val="WW8Num2z0"/>
    <w:uiPriority w:val="99"/>
    <w:rsid w:val="00625D24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625D24"/>
  </w:style>
  <w:style w:type="character" w:customStyle="1" w:styleId="WW-Absatz-Standardschriftart111">
    <w:name w:val="WW-Absatz-Standardschriftart111"/>
    <w:uiPriority w:val="99"/>
    <w:rsid w:val="00625D24"/>
  </w:style>
  <w:style w:type="character" w:customStyle="1" w:styleId="WW-Absatz-Standardschriftart1111">
    <w:name w:val="WW-Absatz-Standardschriftart1111"/>
    <w:uiPriority w:val="99"/>
    <w:rsid w:val="00625D24"/>
  </w:style>
  <w:style w:type="character" w:customStyle="1" w:styleId="WW-Absatz-Standardschriftart11111">
    <w:name w:val="WW-Absatz-Standardschriftart11111"/>
    <w:uiPriority w:val="99"/>
    <w:rsid w:val="00625D24"/>
  </w:style>
  <w:style w:type="character" w:customStyle="1" w:styleId="WW-Absatz-Standardschriftart111111">
    <w:name w:val="WW-Absatz-Standardschriftart111111"/>
    <w:uiPriority w:val="99"/>
    <w:rsid w:val="00625D24"/>
  </w:style>
  <w:style w:type="character" w:customStyle="1" w:styleId="WW-Absatz-Standardschriftart1111111">
    <w:name w:val="WW-Absatz-Standardschriftart1111111"/>
    <w:uiPriority w:val="99"/>
    <w:rsid w:val="00625D24"/>
  </w:style>
  <w:style w:type="character" w:customStyle="1" w:styleId="WW-Absatz-Standardschriftart11111111">
    <w:name w:val="WW-Absatz-Standardschriftart11111111"/>
    <w:uiPriority w:val="99"/>
    <w:rsid w:val="00625D24"/>
  </w:style>
  <w:style w:type="character" w:customStyle="1" w:styleId="WW-Absatz-Standardschriftart111111111">
    <w:name w:val="WW-Absatz-Standardschriftart111111111"/>
    <w:uiPriority w:val="99"/>
    <w:rsid w:val="00625D24"/>
  </w:style>
  <w:style w:type="character" w:customStyle="1" w:styleId="WW-Absatz-Standardschriftart1111111111">
    <w:name w:val="WW-Absatz-Standardschriftart1111111111"/>
    <w:uiPriority w:val="99"/>
    <w:rsid w:val="00625D24"/>
  </w:style>
  <w:style w:type="character" w:customStyle="1" w:styleId="WW8Num3z0">
    <w:name w:val="WW8Num3z0"/>
    <w:uiPriority w:val="99"/>
    <w:rsid w:val="00625D24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625D24"/>
  </w:style>
  <w:style w:type="character" w:customStyle="1" w:styleId="WW-Absatz-Standardschriftart111111111111">
    <w:name w:val="WW-Absatz-Standardschriftart111111111111"/>
    <w:uiPriority w:val="99"/>
    <w:rsid w:val="00625D24"/>
  </w:style>
  <w:style w:type="character" w:customStyle="1" w:styleId="WW-Absatz-Standardschriftart1111111111111">
    <w:name w:val="WW-Absatz-Standardschriftart1111111111111"/>
    <w:uiPriority w:val="99"/>
    <w:rsid w:val="00625D24"/>
  </w:style>
  <w:style w:type="character" w:customStyle="1" w:styleId="WW8Num4z0">
    <w:name w:val="WW8Num4z0"/>
    <w:uiPriority w:val="99"/>
    <w:rsid w:val="00625D24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625D24"/>
  </w:style>
  <w:style w:type="character" w:customStyle="1" w:styleId="WW-Absatz-Standardschriftart111111111111111">
    <w:name w:val="WW-Absatz-Standardschriftart111111111111111"/>
    <w:uiPriority w:val="99"/>
    <w:rsid w:val="00625D24"/>
  </w:style>
  <w:style w:type="character" w:customStyle="1" w:styleId="WW-Absatz-Standardschriftart1111111111111111">
    <w:name w:val="WW-Absatz-Standardschriftart1111111111111111"/>
    <w:uiPriority w:val="99"/>
    <w:rsid w:val="00625D24"/>
  </w:style>
  <w:style w:type="character" w:customStyle="1" w:styleId="WW-Absatz-Standardschriftart11111111111111111">
    <w:name w:val="WW-Absatz-Standardschriftart11111111111111111"/>
    <w:uiPriority w:val="99"/>
    <w:rsid w:val="00625D24"/>
  </w:style>
  <w:style w:type="character" w:customStyle="1" w:styleId="WW-Absatz-Standardschriftart111111111111111111">
    <w:name w:val="WW-Absatz-Standardschriftart111111111111111111"/>
    <w:uiPriority w:val="99"/>
    <w:rsid w:val="00625D24"/>
  </w:style>
  <w:style w:type="character" w:customStyle="1" w:styleId="WW-Absatz-Standardschriftart1111111111111111111">
    <w:name w:val="WW-Absatz-Standardschriftart1111111111111111111"/>
    <w:uiPriority w:val="99"/>
    <w:rsid w:val="00625D24"/>
  </w:style>
  <w:style w:type="character" w:customStyle="1" w:styleId="WW-Absatz-Standardschriftart11111111111111111111">
    <w:name w:val="WW-Absatz-Standardschriftart11111111111111111111"/>
    <w:uiPriority w:val="99"/>
    <w:rsid w:val="00625D24"/>
  </w:style>
  <w:style w:type="character" w:customStyle="1" w:styleId="WW8Num5z0">
    <w:name w:val="WW8Num5z0"/>
    <w:uiPriority w:val="99"/>
    <w:rsid w:val="00625D24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625D24"/>
  </w:style>
  <w:style w:type="character" w:customStyle="1" w:styleId="WW8Num6z0">
    <w:name w:val="WW8Num6z0"/>
    <w:uiPriority w:val="99"/>
    <w:rsid w:val="00625D24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625D24"/>
  </w:style>
  <w:style w:type="character" w:customStyle="1" w:styleId="WW-Absatz-Standardschriftart11111111111111111111111">
    <w:name w:val="WW-Absatz-Standardschriftart11111111111111111111111"/>
    <w:uiPriority w:val="99"/>
    <w:rsid w:val="00625D24"/>
  </w:style>
  <w:style w:type="character" w:customStyle="1" w:styleId="WW-Absatz-Standardschriftart111111111111111111111111">
    <w:name w:val="WW-Absatz-Standardschriftart111111111111111111111111"/>
    <w:uiPriority w:val="99"/>
    <w:rsid w:val="00625D24"/>
  </w:style>
  <w:style w:type="character" w:customStyle="1" w:styleId="WW-Absatz-Standardschriftart1111111111111111111111111">
    <w:name w:val="WW-Absatz-Standardschriftart1111111111111111111111111"/>
    <w:uiPriority w:val="99"/>
    <w:rsid w:val="00625D24"/>
  </w:style>
  <w:style w:type="character" w:customStyle="1" w:styleId="WW-Absatz-Standardschriftart11111111111111111111111111">
    <w:name w:val="WW-Absatz-Standardschriftart11111111111111111111111111"/>
    <w:uiPriority w:val="99"/>
    <w:rsid w:val="00625D24"/>
  </w:style>
  <w:style w:type="character" w:customStyle="1" w:styleId="WW-Absatz-Standardschriftart111111111111111111111111111">
    <w:name w:val="WW-Absatz-Standardschriftart111111111111111111111111111"/>
    <w:uiPriority w:val="99"/>
    <w:rsid w:val="00625D24"/>
  </w:style>
  <w:style w:type="character" w:customStyle="1" w:styleId="WW-Absatz-Standardschriftart1111111111111111111111111111">
    <w:name w:val="WW-Absatz-Standardschriftart1111111111111111111111111111"/>
    <w:uiPriority w:val="99"/>
    <w:rsid w:val="00625D24"/>
  </w:style>
  <w:style w:type="character" w:customStyle="1" w:styleId="WW-Absatz-Standardschriftart11111111111111111111111111111">
    <w:name w:val="WW-Absatz-Standardschriftart11111111111111111111111111111"/>
    <w:uiPriority w:val="99"/>
    <w:rsid w:val="00625D24"/>
  </w:style>
  <w:style w:type="character" w:customStyle="1" w:styleId="WW-Absatz-Standardschriftart111111111111111111111111111111">
    <w:name w:val="WW-Absatz-Standardschriftart111111111111111111111111111111"/>
    <w:uiPriority w:val="99"/>
    <w:rsid w:val="00625D24"/>
  </w:style>
  <w:style w:type="character" w:customStyle="1" w:styleId="WW-Absatz-Standardschriftart1111111111111111111111111111111">
    <w:name w:val="WW-Absatz-Standardschriftart1111111111111111111111111111111"/>
    <w:uiPriority w:val="99"/>
    <w:rsid w:val="00625D24"/>
  </w:style>
  <w:style w:type="character" w:customStyle="1" w:styleId="WW-Absatz-Standardschriftart11111111111111111111111111111111">
    <w:name w:val="WW-Absatz-Standardschriftart11111111111111111111111111111111"/>
    <w:uiPriority w:val="99"/>
    <w:rsid w:val="00625D24"/>
  </w:style>
  <w:style w:type="character" w:customStyle="1" w:styleId="WW-Absatz-Standardschriftart111111111111111111111111111111111">
    <w:name w:val="WW-Absatz-Standardschriftart111111111111111111111111111111111"/>
    <w:uiPriority w:val="99"/>
    <w:rsid w:val="00625D24"/>
  </w:style>
  <w:style w:type="character" w:customStyle="1" w:styleId="WW-Absatz-Standardschriftart1111111111111111111111111111111111">
    <w:name w:val="WW-Absatz-Standardschriftart1111111111111111111111111111111111"/>
    <w:uiPriority w:val="99"/>
    <w:rsid w:val="00625D24"/>
  </w:style>
  <w:style w:type="character" w:customStyle="1" w:styleId="WW8Num3z1">
    <w:name w:val="WW8Num3z1"/>
    <w:uiPriority w:val="99"/>
    <w:rsid w:val="00625D24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625D24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625D24"/>
  </w:style>
  <w:style w:type="character" w:customStyle="1" w:styleId="TextNPA">
    <w:name w:val="Text NPA"/>
    <w:uiPriority w:val="99"/>
    <w:rsid w:val="00625D24"/>
    <w:rPr>
      <w:rFonts w:ascii="Courier New" w:hAnsi="Courier New" w:cs="Courier New" w:hint="default"/>
      <w:color w:val="auto"/>
    </w:rPr>
  </w:style>
  <w:style w:type="character" w:customStyle="1" w:styleId="afd">
    <w:name w:val="Символ нумерации"/>
    <w:uiPriority w:val="99"/>
    <w:rsid w:val="00625D24"/>
  </w:style>
  <w:style w:type="character" w:customStyle="1" w:styleId="afe">
    <w:name w:val="Маркеры списка"/>
    <w:uiPriority w:val="99"/>
    <w:rsid w:val="00625D24"/>
    <w:rPr>
      <w:rFonts w:ascii="OpenSymbol" w:hAnsi="OpenSymbol" w:hint="default"/>
    </w:rPr>
  </w:style>
  <w:style w:type="character" w:customStyle="1" w:styleId="FontStyle23">
    <w:name w:val="Font Style23"/>
    <w:uiPriority w:val="99"/>
    <w:rsid w:val="00625D24"/>
    <w:rPr>
      <w:rFonts w:ascii="Cambria" w:hAnsi="Cambria" w:hint="default"/>
      <w:sz w:val="22"/>
    </w:rPr>
  </w:style>
  <w:style w:type="character" w:customStyle="1" w:styleId="c6">
    <w:name w:val="c6"/>
    <w:uiPriority w:val="99"/>
    <w:rsid w:val="00625D24"/>
  </w:style>
  <w:style w:type="character" w:customStyle="1" w:styleId="aff">
    <w:name w:val="Гипертекстовая ссылка"/>
    <w:uiPriority w:val="99"/>
    <w:rsid w:val="00625D24"/>
    <w:rPr>
      <w:color w:val="106BBE"/>
    </w:rPr>
  </w:style>
  <w:style w:type="character" w:customStyle="1" w:styleId="36">
    <w:name w:val="Основной шрифт абзаца3"/>
    <w:uiPriority w:val="99"/>
    <w:rsid w:val="00625D24"/>
  </w:style>
  <w:style w:type="character" w:customStyle="1" w:styleId="14">
    <w:name w:val="Подзаголовок Знак1"/>
    <w:uiPriority w:val="99"/>
    <w:rsid w:val="00625D24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625D24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625D24"/>
  </w:style>
  <w:style w:type="character" w:customStyle="1" w:styleId="link">
    <w:name w:val="link"/>
    <w:uiPriority w:val="99"/>
    <w:rsid w:val="00625D24"/>
  </w:style>
  <w:style w:type="character" w:customStyle="1" w:styleId="aff0">
    <w:name w:val="Сравнение редакций. Добавленный фрагмент"/>
    <w:uiPriority w:val="99"/>
    <w:rsid w:val="00625D24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625D24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19</Pages>
  <Words>6015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2019-12-25T10:24:00Z</cp:lastPrinted>
  <dcterms:created xsi:type="dcterms:W3CDTF">2011-11-15T08:57:00Z</dcterms:created>
  <dcterms:modified xsi:type="dcterms:W3CDTF">2019-12-26T06:57:00Z</dcterms:modified>
</cp:coreProperties>
</file>