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78" w:rsidRDefault="006162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6278" w:rsidRDefault="00616278">
      <w:pPr>
        <w:pStyle w:val="ConsPlusNormal"/>
        <w:jc w:val="both"/>
        <w:outlineLvl w:val="0"/>
      </w:pPr>
    </w:p>
    <w:p w:rsidR="00616278" w:rsidRDefault="00616278">
      <w:pPr>
        <w:pStyle w:val="ConsPlusNormal"/>
        <w:outlineLvl w:val="0"/>
      </w:pPr>
      <w:r>
        <w:t>Зарегистрировано в Минюсте России 30 мая 2017 г. N 46879</w:t>
      </w:r>
    </w:p>
    <w:p w:rsidR="00616278" w:rsidRDefault="006162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278" w:rsidRDefault="00616278">
      <w:pPr>
        <w:pStyle w:val="ConsPlusNormal"/>
        <w:jc w:val="both"/>
      </w:pPr>
    </w:p>
    <w:p w:rsidR="00616278" w:rsidRDefault="00616278">
      <w:pPr>
        <w:pStyle w:val="ConsPlusTitle"/>
        <w:jc w:val="center"/>
      </w:pPr>
      <w:r>
        <w:t>МИНИСТЕРСТВО СТРОИТЕЛЬСТВА И ЖИЛИЩНО-КОММУНАЛЬНОГО</w:t>
      </w:r>
    </w:p>
    <w:p w:rsidR="00616278" w:rsidRDefault="00616278">
      <w:pPr>
        <w:pStyle w:val="ConsPlusTitle"/>
        <w:jc w:val="center"/>
      </w:pPr>
      <w:r>
        <w:t>ХОЗЯЙСТВА РОССИЙСКОЙ ФЕДЕРАЦИИ</w:t>
      </w:r>
    </w:p>
    <w:p w:rsidR="00616278" w:rsidRDefault="00616278">
      <w:pPr>
        <w:pStyle w:val="ConsPlusTitle"/>
        <w:jc w:val="center"/>
      </w:pPr>
    </w:p>
    <w:p w:rsidR="00616278" w:rsidRDefault="00616278">
      <w:pPr>
        <w:pStyle w:val="ConsPlusTitle"/>
        <w:jc w:val="center"/>
      </w:pPr>
      <w:r>
        <w:t>ПРИКАЗ</w:t>
      </w:r>
    </w:p>
    <w:p w:rsidR="00616278" w:rsidRDefault="00616278">
      <w:pPr>
        <w:pStyle w:val="ConsPlusTitle"/>
        <w:jc w:val="center"/>
      </w:pPr>
      <w:r>
        <w:t>от 25 апреля 2017 г. N 740/</w:t>
      </w:r>
      <w:proofErr w:type="gramStart"/>
      <w:r>
        <w:t>пр</w:t>
      </w:r>
      <w:proofErr w:type="gramEnd"/>
    </w:p>
    <w:p w:rsidR="00616278" w:rsidRDefault="00616278">
      <w:pPr>
        <w:pStyle w:val="ConsPlusTitle"/>
        <w:jc w:val="center"/>
      </w:pPr>
    </w:p>
    <w:p w:rsidR="00616278" w:rsidRDefault="00616278">
      <w:pPr>
        <w:pStyle w:val="ConsPlusTitle"/>
        <w:jc w:val="center"/>
      </w:pPr>
      <w:r>
        <w:t>ОБ УСТАНОВЛЕНИИ</w:t>
      </w:r>
    </w:p>
    <w:p w:rsidR="00616278" w:rsidRDefault="00616278">
      <w:pPr>
        <w:pStyle w:val="ConsPlusTitle"/>
        <w:jc w:val="center"/>
      </w:pPr>
      <w:r>
        <w:t>СЛУЧАЕВ ПОДГОТОВКИ И ТРЕБОВАНИЙ К ПОДГОТОВКЕ ВХОДЯЩЕЙ</w:t>
      </w:r>
    </w:p>
    <w:p w:rsidR="00616278" w:rsidRDefault="00616278">
      <w:pPr>
        <w:pStyle w:val="ConsPlusTitle"/>
        <w:jc w:val="center"/>
      </w:pPr>
      <w:r>
        <w:t>В СОСТАВ МАТЕРИАЛОВ ПО ОБОСНОВАНИЮ ПРОЕКТА ПЛАНИРОВКИ</w:t>
      </w:r>
    </w:p>
    <w:p w:rsidR="00616278" w:rsidRDefault="00616278">
      <w:pPr>
        <w:pStyle w:val="ConsPlusTitle"/>
        <w:jc w:val="center"/>
      </w:pPr>
      <w:r>
        <w:t>ТЕРРИТОРИИ СХЕМЫ ВЕРТИКАЛЬНОЙ ПЛАНИРОВКИ, ИНЖЕНЕРНОЙ</w:t>
      </w:r>
    </w:p>
    <w:p w:rsidR="00616278" w:rsidRDefault="00616278">
      <w:pPr>
        <w:pStyle w:val="ConsPlusTitle"/>
        <w:jc w:val="center"/>
      </w:pPr>
      <w:r>
        <w:t>ПОДГОТОВКИ И ИНЖЕНЕРНОЙ ЗАЩИТЫ ТЕРРИТОРИИ</w:t>
      </w:r>
    </w:p>
    <w:p w:rsidR="00616278" w:rsidRDefault="00616278">
      <w:pPr>
        <w:pStyle w:val="ConsPlusNormal"/>
        <w:jc w:val="both"/>
      </w:pPr>
    </w:p>
    <w:p w:rsidR="00616278" w:rsidRDefault="0061627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13 части 4 статьи 42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2011, N 13, ст. 1688; N 17, ст. 2310; N 30, ст. 4594; 2014, N 26, ст. 3377; 2016, N 27, ст. 4306; </w:t>
      </w:r>
      <w:proofErr w:type="gramStart"/>
      <w:r>
        <w:t xml:space="preserve">2017, N 11, ст. 1540) и </w:t>
      </w:r>
      <w:hyperlink r:id="rId7" w:history="1">
        <w:r>
          <w:rPr>
            <w:color w:val="0000FF"/>
          </w:rPr>
          <w:t>подпунктом 5.4.88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3334; N 24, ст. 3479; N 46, ст. 6393; N 47, ст. 6586, ст. 6601; 2016, N 2, ст. 376; N 6, ст. 850; N 28, ст. 4741; N 41, ст. 5837; </w:t>
      </w:r>
      <w:proofErr w:type="gramStart"/>
      <w:r>
        <w:t>N 47, ст. 6673; N 48, ст. 6766; N 50, ст. 7112; 2017, N 1, ст. 185; N 8, ст. 1245), приказываю:</w:t>
      </w:r>
      <w:proofErr w:type="gramEnd"/>
    </w:p>
    <w:p w:rsidR="00616278" w:rsidRDefault="00616278">
      <w:pPr>
        <w:pStyle w:val="ConsPlusNormal"/>
        <w:spacing w:before="220"/>
        <w:ind w:firstLine="540"/>
        <w:jc w:val="both"/>
      </w:pPr>
      <w:r>
        <w:t>1. Установить, что схема вертикальной планировки территории, инженерной подготовки и инженерной защиты территории, входящая в состав материалов по обоснованию проекта планировки территории (далее - Схема), подготавливается в следующих случаях: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 xml:space="preserve">а) если проект планировки территории предусматривает размещение объектов капитального строительства, не являющихся линейными объектами, автомобильных дорог общего пользования, проездов, железнодорожных линий, выделение элементов улично-дорожной сети, при условии размещения таких объектов и (или) выделения таких элементов на территории с рельефом, имеющим уклон более 8 процентов. </w:t>
      </w:r>
      <w:proofErr w:type="gramStart"/>
      <w:r>
        <w:t>В этом случае подготовка Схемы осуществляется применительно к территории, в отношении которой подготавливается проект планировки;</w:t>
      </w:r>
      <w:proofErr w:type="gramEnd"/>
    </w:p>
    <w:p w:rsidR="00616278" w:rsidRDefault="00616278">
      <w:pPr>
        <w:pStyle w:val="ConsPlusNormal"/>
        <w:spacing w:before="220"/>
        <w:ind w:firstLine="540"/>
        <w:jc w:val="both"/>
      </w:pPr>
      <w:r>
        <w:t xml:space="preserve">б) если проект планировки территории предусматривает размещение автомобильных дорог общего пользования, проездов, железнодорожных линий, выделение элементов улично-дорожной сети, при условии размещения таких объектов и (или) выделения таких элементов на территории с рельефом, имеющим уклон равный 8 и менее процентов. В этом случае подготовка Схемы осуществляется только в отношении территории, предназначенной для размещения автомобильной дороги общего пользования, проездов, железнодорожных линий, и (или) в отношении </w:t>
      </w:r>
      <w:proofErr w:type="gramStart"/>
      <w:r>
        <w:t>территории</w:t>
      </w:r>
      <w:proofErr w:type="gramEnd"/>
      <w:r>
        <w:t xml:space="preserve"> на которой выделяются элементы улично-дорожной сети;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в) если проект планировки территории предусматривает размещение объектов капитального строительства, не являющихся линейными объектами, автомобильных дорог общего пользования, проездов, железнодорожных линий, выделение элементов улично-дорожной сети в районах развития опасных геологических и инженерно-геологических процессов.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схеме вертикальной планировки территории, инженерной </w:t>
      </w:r>
      <w:r>
        <w:lastRenderedPageBreak/>
        <w:t>подготовки и инженерной защиты территории, входящей в состав материалов по обоснованию проекта планировки территории, согласно приложению к настоящему приказу.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616278" w:rsidRDefault="00616278">
      <w:pPr>
        <w:pStyle w:val="ConsPlusNormal"/>
        <w:ind w:firstLine="540"/>
        <w:jc w:val="both"/>
      </w:pPr>
    </w:p>
    <w:p w:rsidR="00616278" w:rsidRDefault="00616278">
      <w:pPr>
        <w:pStyle w:val="ConsPlusNormal"/>
        <w:jc w:val="right"/>
      </w:pPr>
      <w:r>
        <w:t>Министр</w:t>
      </w:r>
    </w:p>
    <w:p w:rsidR="00616278" w:rsidRDefault="00616278">
      <w:pPr>
        <w:pStyle w:val="ConsPlusNormal"/>
        <w:jc w:val="right"/>
      </w:pPr>
      <w:r>
        <w:t>М.А.МЕНЬ</w:t>
      </w: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  <w:outlineLvl w:val="0"/>
      </w:pPr>
      <w:r>
        <w:t>Приложение</w:t>
      </w:r>
    </w:p>
    <w:p w:rsidR="00616278" w:rsidRDefault="00616278">
      <w:pPr>
        <w:pStyle w:val="ConsPlusNormal"/>
        <w:jc w:val="right"/>
      </w:pPr>
    </w:p>
    <w:p w:rsidR="00616278" w:rsidRDefault="00616278">
      <w:pPr>
        <w:pStyle w:val="ConsPlusNormal"/>
        <w:jc w:val="right"/>
      </w:pPr>
      <w:r>
        <w:t>Утверждены</w:t>
      </w:r>
    </w:p>
    <w:p w:rsidR="00616278" w:rsidRDefault="00616278">
      <w:pPr>
        <w:pStyle w:val="ConsPlusNormal"/>
        <w:jc w:val="right"/>
      </w:pPr>
      <w:r>
        <w:t>приказом Министерства строительства</w:t>
      </w:r>
    </w:p>
    <w:p w:rsidR="00616278" w:rsidRDefault="00616278">
      <w:pPr>
        <w:pStyle w:val="ConsPlusNormal"/>
        <w:jc w:val="right"/>
      </w:pPr>
      <w:r>
        <w:t>и жилищно-коммунального хозяйства</w:t>
      </w:r>
    </w:p>
    <w:p w:rsidR="00616278" w:rsidRDefault="00616278">
      <w:pPr>
        <w:pStyle w:val="ConsPlusNormal"/>
        <w:jc w:val="right"/>
      </w:pPr>
      <w:r>
        <w:t>Российской Федерации</w:t>
      </w:r>
    </w:p>
    <w:p w:rsidR="00616278" w:rsidRDefault="00616278">
      <w:pPr>
        <w:pStyle w:val="ConsPlusNormal"/>
        <w:jc w:val="right"/>
      </w:pPr>
      <w:r>
        <w:t>от 25 апреля 2017 г. N 740/</w:t>
      </w:r>
      <w:proofErr w:type="gramStart"/>
      <w:r>
        <w:t>пр</w:t>
      </w:r>
      <w:proofErr w:type="gramEnd"/>
    </w:p>
    <w:p w:rsidR="00616278" w:rsidRDefault="00616278">
      <w:pPr>
        <w:pStyle w:val="ConsPlusNormal"/>
        <w:ind w:firstLine="540"/>
        <w:jc w:val="both"/>
      </w:pPr>
    </w:p>
    <w:p w:rsidR="00616278" w:rsidRDefault="00616278">
      <w:pPr>
        <w:pStyle w:val="ConsPlusTitle"/>
        <w:jc w:val="center"/>
      </w:pPr>
      <w:bookmarkStart w:id="0" w:name="P39"/>
      <w:bookmarkEnd w:id="0"/>
      <w:r>
        <w:t>ТРЕБОВАНИЯ</w:t>
      </w:r>
    </w:p>
    <w:p w:rsidR="00616278" w:rsidRDefault="00616278">
      <w:pPr>
        <w:pStyle w:val="ConsPlusTitle"/>
        <w:jc w:val="center"/>
      </w:pPr>
      <w:r>
        <w:t>К СХЕМЕ ВЕРТИКАЛЬНОЙ ПЛАНИРОВКИ ТЕРРИТОРИИ, ИНЖЕНЕРНОЙ</w:t>
      </w:r>
    </w:p>
    <w:p w:rsidR="00616278" w:rsidRDefault="00616278">
      <w:pPr>
        <w:pStyle w:val="ConsPlusTitle"/>
        <w:jc w:val="center"/>
      </w:pPr>
      <w:r>
        <w:t>ПОДГОТОВКИ И ИНЖЕНЕРНОЙ ЗАЩИТЫ ТЕРРИТОРИИ, ВХОДЯЩЕЙ</w:t>
      </w:r>
    </w:p>
    <w:p w:rsidR="00616278" w:rsidRDefault="00616278">
      <w:pPr>
        <w:pStyle w:val="ConsPlusTitle"/>
        <w:jc w:val="center"/>
      </w:pPr>
      <w:r>
        <w:t>В СОСТАВ МАТЕРИАЛОВ ПО ОБОСНОВАНИЮ ПРОЕКТА</w:t>
      </w:r>
    </w:p>
    <w:p w:rsidR="00616278" w:rsidRDefault="00616278">
      <w:pPr>
        <w:pStyle w:val="ConsPlusTitle"/>
        <w:jc w:val="center"/>
      </w:pPr>
      <w:r>
        <w:t>ПЛАНИРОВКИ ТЕРРИТОРИИ</w:t>
      </w:r>
    </w:p>
    <w:p w:rsidR="00616278" w:rsidRDefault="00616278">
      <w:pPr>
        <w:pStyle w:val="ConsPlusNormal"/>
        <w:ind w:firstLine="540"/>
        <w:jc w:val="both"/>
      </w:pPr>
    </w:p>
    <w:p w:rsidR="00616278" w:rsidRDefault="00616278">
      <w:pPr>
        <w:pStyle w:val="ConsPlusNormal"/>
        <w:ind w:firstLine="540"/>
        <w:jc w:val="both"/>
      </w:pPr>
      <w:bookmarkStart w:id="1" w:name="P45"/>
      <w:bookmarkEnd w:id="1"/>
      <w:r>
        <w:t>1. Схема вертикальной планировки территории, инженерной подготовки и инженерной защиты территории, входящая в состав материалов по обоснованию проекта планировки территории (далее - Схема), разрабатывается в масштабе 1:1000, или 1:2000, или 1:5000.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2. На Схеме должны быть отображены: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а) границы субъектов Российской Федерации, муниципальных районов, поселений, городских округов, населенных пунктов, границы внутригородской территории городов федерального значения в границах разработки проекта планировки территории;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б) 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в) 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г)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д) 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е) горизонтали, отображающие проектный рельеф в виде параллельных линий;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>ж) типовые поперечные профили автомобильных и железных дорог, элементы улично-</w:t>
      </w:r>
      <w:r>
        <w:lastRenderedPageBreak/>
        <w:t>дорожной сети.</w:t>
      </w:r>
    </w:p>
    <w:p w:rsidR="00616278" w:rsidRDefault="00616278">
      <w:pPr>
        <w:pStyle w:val="ConsPlusNormal"/>
        <w:spacing w:before="220"/>
        <w:ind w:firstLine="540"/>
        <w:jc w:val="both"/>
      </w:pPr>
      <w:bookmarkStart w:id="2" w:name="P54"/>
      <w:bookmarkEnd w:id="2"/>
      <w:r>
        <w:t>3. Типовые поперечные профили автомобильных и железных дорог, а также элементы улично-дорожной сети выполняются в масштабе 1:100 или 1:200. Ширина автомобильной дороги и функциональных элементов поперечного профиля приводится с точностью до 0,01 м. Асимметричные поперечные профили сопровождаются пояснительной надписью для ориентации профиля относительно плана.</w:t>
      </w:r>
    </w:p>
    <w:p w:rsidR="00616278" w:rsidRDefault="00616278">
      <w:pPr>
        <w:pStyle w:val="ConsPlusNormal"/>
        <w:spacing w:before="220"/>
        <w:ind w:firstLine="540"/>
        <w:jc w:val="both"/>
      </w:pPr>
      <w:r>
        <w:t xml:space="preserve">4. Отображение информации, указанной в </w:t>
      </w:r>
      <w:hyperlink w:anchor="P4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54" w:history="1">
        <w:r>
          <w:rPr>
            <w:color w:val="0000FF"/>
          </w:rPr>
          <w:t>3</w:t>
        </w:r>
      </w:hyperlink>
      <w:r>
        <w:t xml:space="preserve"> требований к Схеме, осуществляется в виде одной Схемы и (или) нескольких схем (схемы вертикальной планировки территории, схемы инженерной подготовки территории, схемы инженерной защиты территории) в составе Схемы в зависимости от обеспечения читаемости линий и условных обозначений.</w:t>
      </w:r>
    </w:p>
    <w:p w:rsidR="00616278" w:rsidRDefault="00616278">
      <w:pPr>
        <w:pStyle w:val="ConsPlusNormal"/>
        <w:jc w:val="both"/>
      </w:pPr>
    </w:p>
    <w:p w:rsidR="00616278" w:rsidRDefault="00616278">
      <w:pPr>
        <w:pStyle w:val="ConsPlusNormal"/>
        <w:jc w:val="both"/>
      </w:pPr>
    </w:p>
    <w:p w:rsidR="00616278" w:rsidRDefault="006162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BCB" w:rsidRDefault="005D7BCB">
      <w:bookmarkStart w:id="3" w:name="_GoBack"/>
      <w:bookmarkEnd w:id="3"/>
    </w:p>
    <w:sectPr w:rsidR="005D7BCB" w:rsidSect="00B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78"/>
    <w:rsid w:val="00360095"/>
    <w:rsid w:val="005D7BCB"/>
    <w:rsid w:val="00616278"/>
    <w:rsid w:val="00A32E65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FE01C3A4857335C91734128218FA3B415488A3A4738410FC8657203EB8019E63422DE7BT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FE01C3A4857335C91734128218FA3B41446813B4038410FC8657203EB8019E63422DDBF5A7CT4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1</cp:revision>
  <dcterms:created xsi:type="dcterms:W3CDTF">2018-07-02T04:19:00Z</dcterms:created>
  <dcterms:modified xsi:type="dcterms:W3CDTF">2018-07-02T04:20:00Z</dcterms:modified>
</cp:coreProperties>
</file>